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מרים אילני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E3460A" w:rsidRDefault="00F31172" w:rsidP="00007DA4">
                <w:pPr>
                  <w:suppressLineNumbers/>
                  <w:rPr>
                    <w:rFonts w:ascii="Arial" w:hAnsi="Arial"/>
                    <w:b/>
                    <w:bCs/>
                    <w:noProof w:val="0"/>
                    <w:sz w:val="26"/>
                    <w:szCs w:val="26"/>
                    <w:rtl/>
                  </w:rPr>
                </w:pPr>
                <w:r w:rsidRPr="00007DA4">
                  <w:rPr>
                    <w:rFonts w:ascii="Arial" w:hAnsi="Arial"/>
                    <w:b/>
                    <w:bCs/>
                    <w:noProof w:val="0"/>
                    <w:sz w:val="26"/>
                    <w:szCs w:val="26"/>
                    <w:rtl/>
                  </w:rPr>
                  <w:t>תובע</w:t>
                </w:r>
                <w:r w:rsidR="00007DA4" w:rsidRPr="00007DA4">
                  <w:rPr>
                    <w:rFonts w:hint="cs"/>
                    <w:b/>
                    <w:bCs/>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7C2453">
            <w:pPr>
              <w:suppressLineNumbers/>
              <w:rPr>
                <w:b/>
                <w:bCs/>
                <w:noProof w:val="0"/>
                <w:sz w:val="26"/>
                <w:szCs w:val="26"/>
              </w:rPr>
            </w:pPr>
            <w:r w:rsidRPr="007C2453">
              <w:rPr>
                <w:rFonts w:ascii="Arial" w:hAnsi="Arial" w:hint="cs"/>
                <w:b/>
                <w:bCs/>
                <w:noProof w:val="0"/>
                <w:sz w:val="26"/>
                <w:szCs w:val="26"/>
                <w:rtl/>
              </w:rPr>
              <w:t xml:space="preserve"> </w:t>
            </w:r>
            <w:r w:rsidR="00B859C5">
              <w:rPr>
                <w:rFonts w:ascii="Arial" w:hAnsi="Arial" w:hint="eastAsia"/>
                <w:b/>
                <w:bCs/>
                <w:noProof w:val="0"/>
                <w:sz w:val="26"/>
                <w:szCs w:val="26"/>
                <w:rtl/>
              </w:rPr>
              <w:t>פלוני</w:t>
            </w:r>
            <w:r w:rsidR="00007DA4">
              <w:rPr>
                <w:rFonts w:ascii="Arial" w:hAnsi="Arial" w:hint="cs"/>
                <w:b/>
                <w:bCs/>
                <w:noProof w:val="0"/>
                <w:sz w:val="26"/>
                <w:szCs w:val="26"/>
                <w:rtl/>
              </w:rPr>
              <w:t>ת</w:t>
            </w:r>
            <w:r w:rsidR="00007DA4">
              <w:rPr>
                <w:rFonts w:ascii="Arial" w:hAnsi="Arial"/>
                <w:b/>
                <w:bCs/>
                <w:noProof w:val="0"/>
                <w:sz w:val="26"/>
                <w:szCs w:val="26"/>
                <w:rtl/>
              </w:rPr>
              <w:br/>
            </w:r>
            <w:r w:rsidR="00007DA4">
              <w:rPr>
                <w:rFonts w:ascii="Arial" w:hAnsi="Arial" w:hint="cs"/>
                <w:b/>
                <w:bCs/>
                <w:noProof w:val="0"/>
                <w:sz w:val="10"/>
                <w:szCs w:val="10"/>
                <w:rtl/>
              </w:rPr>
              <w:t>]</w:t>
            </w:r>
            <w:r w:rsidR="00007DA4">
              <w:rPr>
                <w:rFonts w:ascii="Arial" w:hAnsi="Arial"/>
                <w:b/>
                <w:bCs/>
                <w:noProof w:val="0"/>
                <w:sz w:val="26"/>
                <w:szCs w:val="26"/>
                <w:rtl/>
              </w:rPr>
              <w:br/>
            </w:r>
            <w:r w:rsidR="00B859C5">
              <w:rPr>
                <w:rFonts w:hint="cs"/>
                <w:rtl/>
              </w:rPr>
              <w:t xml:space="preserve"> </w:t>
            </w:r>
            <w:r w:rsidR="00B859C5" w:rsidRPr="00007DA4">
              <w:rPr>
                <w:rFonts w:ascii="Arial" w:hAnsi="Arial"/>
                <w:noProof w:val="0"/>
                <w:sz w:val="26"/>
                <w:szCs w:val="26"/>
                <w:rtl/>
              </w:rPr>
              <w:t>ע"י ב"כ עוה"ד</w:t>
            </w:r>
            <w:r w:rsidR="00007DA4" w:rsidRPr="00007DA4">
              <w:rPr>
                <w:rFonts w:hint="cs"/>
                <w:noProof w:val="0"/>
                <w:sz w:val="26"/>
                <w:szCs w:val="26"/>
                <w:rtl/>
              </w:rPr>
              <w:t xml:space="preserve"> ברק קדם ואריאל </w:t>
            </w:r>
            <w:proofErr w:type="spellStart"/>
            <w:r w:rsidR="00007DA4" w:rsidRPr="00007DA4">
              <w:rPr>
                <w:rFonts w:hint="cs"/>
                <w:noProof w:val="0"/>
                <w:sz w:val="26"/>
                <w:szCs w:val="26"/>
                <w:rtl/>
              </w:rPr>
              <w:t>חיומי</w:t>
            </w:r>
            <w:proofErr w:type="spellEnd"/>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96564" w:rsidP="00007DA4">
            <w:pPr>
              <w:suppressLineNumbers/>
              <w:rPr>
                <w:rFonts w:ascii="Arial" w:hAnsi="Arial"/>
                <w:b/>
                <w:bCs/>
                <w:noProof w:val="0"/>
                <w:sz w:val="26"/>
                <w:szCs w:val="26"/>
              </w:rPr>
            </w:pPr>
            <w:sdt>
              <w:sdtPr>
                <w:rPr>
                  <w:b/>
                  <w:bCs/>
                  <w:rtl/>
                </w:rPr>
                <w:alias w:val="1184"/>
                <w:tag w:val="1184"/>
                <w:id w:val="-340621022"/>
                <w:text w:multiLine="1"/>
              </w:sdtPr>
              <w:sdtEndPr/>
              <w:sdtContent>
                <w:r w:rsidR="00B859C5" w:rsidRPr="00007DA4">
                  <w:rPr>
                    <w:rFonts w:ascii="Arial" w:hAnsi="Arial"/>
                    <w:b/>
                    <w:bCs/>
                    <w:noProof w:val="0"/>
                    <w:sz w:val="26"/>
                    <w:szCs w:val="26"/>
                    <w:rtl/>
                  </w:rPr>
                  <w:t>נתבע</w:t>
                </w:r>
                <w:r w:rsidR="00007DA4" w:rsidRPr="00007DA4">
                  <w:rPr>
                    <w:rFonts w:hint="cs"/>
                    <w:b/>
                    <w:bCs/>
                    <w:rtl/>
                  </w:rPr>
                  <w:t>ת</w:t>
                </w:r>
              </w:sdtContent>
            </w:sdt>
          </w:p>
        </w:tc>
        <w:tc>
          <w:tcPr>
            <w:tcW w:w="5571" w:type="dxa"/>
          </w:tcPr>
          <w:p w:rsidR="00007DA4"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הרשות הפלסטינית</w:t>
                </w:r>
              </w:sdtContent>
            </w:sdt>
            <w:r w:rsidR="00B859C5">
              <w:rPr>
                <w:rFonts w:hint="cs"/>
                <w:rtl/>
              </w:rPr>
              <w:t xml:space="preserve"> </w:t>
            </w:r>
          </w:p>
          <w:p w:rsidR="00007DA4" w:rsidRPr="00007DA4" w:rsidRDefault="00007DA4" w:rsidP="007C2453">
            <w:pPr>
              <w:suppressLineNumbers/>
              <w:rPr>
                <w:rFonts w:ascii="Arial" w:hAnsi="Arial"/>
                <w:b/>
                <w:bCs/>
                <w:noProof w:val="0"/>
                <w:sz w:val="14"/>
                <w:szCs w:val="14"/>
                <w:rtl/>
              </w:rPr>
            </w:pPr>
          </w:p>
          <w:p w:rsidR="00CF6BB7" w:rsidRPr="009E461A" w:rsidRDefault="00007DA4" w:rsidP="007C2453">
            <w:pPr>
              <w:suppressLineNumbers/>
              <w:rPr>
                <w:rtl/>
              </w:rPr>
            </w:pPr>
            <w:r w:rsidRPr="00007DA4">
              <w:rPr>
                <w:rFonts w:ascii="Arial" w:hAnsi="Arial" w:hint="cs"/>
                <w:noProof w:val="0"/>
                <w:sz w:val="26"/>
                <w:szCs w:val="26"/>
                <w:rtl/>
              </w:rPr>
              <w:t xml:space="preserve"> </w:t>
            </w:r>
            <w:r w:rsidR="00B859C5" w:rsidRPr="00007DA4">
              <w:rPr>
                <w:rFonts w:ascii="Arial" w:hAnsi="Arial"/>
                <w:noProof w:val="0"/>
                <w:sz w:val="26"/>
                <w:szCs w:val="26"/>
                <w:rtl/>
              </w:rPr>
              <w:t>ע"י ב"כ עוה"ד</w:t>
            </w:r>
            <w:r>
              <w:rPr>
                <w:rFonts w:hint="cs"/>
                <w:rtl/>
              </w:rPr>
              <w:t xml:space="preserve"> נגה מושקוביץ בן שבת </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E3460A" w:rsidRDefault="00E3460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07DA4" w:rsidRDefault="00007DA4" w:rsidP="00007DA4">
      <w:pPr>
        <w:spacing w:line="360" w:lineRule="auto"/>
        <w:jc w:val="center"/>
        <w:rPr>
          <w:rFonts w:ascii="FrankRuehl" w:hAnsi="FrankRuehl" w:cs="FrankRuehl"/>
          <w:b/>
          <w:bCs/>
          <w:noProof w:val="0"/>
          <w:sz w:val="28"/>
          <w:szCs w:val="28"/>
          <w:u w:val="single"/>
        </w:rPr>
      </w:pPr>
      <w:bookmarkStart w:id="0" w:name="NGCSBookmark"/>
      <w:bookmarkEnd w:id="0"/>
    </w:p>
    <w:p w:rsidR="00007DA4" w:rsidRDefault="00007DA4" w:rsidP="00896564">
      <w:pPr>
        <w:spacing w:line="360" w:lineRule="auto"/>
        <w:ind w:firstLine="720"/>
        <w:jc w:val="both"/>
        <w:rPr>
          <w:rFonts w:ascii="FrankRuehl" w:hAnsi="FrankRuehl" w:cs="FrankRuehl"/>
          <w:sz w:val="28"/>
          <w:szCs w:val="28"/>
          <w:rtl/>
        </w:rPr>
      </w:pPr>
      <w:r>
        <w:rPr>
          <w:rFonts w:ascii="FrankRuehl" w:hAnsi="FrankRuehl" w:cs="FrankRuehl"/>
          <w:sz w:val="28"/>
          <w:szCs w:val="28"/>
          <w:rtl/>
        </w:rPr>
        <w:t xml:space="preserve">תביעה לפיצוי בגין נזקי גוף שנגרמו עקב מעצרה ורציחתה של המנוחה </w:t>
      </w:r>
      <w:r w:rsidR="00896564">
        <w:rPr>
          <w:rFonts w:ascii="FrankRuehl" w:hAnsi="FrankRuehl" w:cs="FrankRuehl" w:hint="cs"/>
          <w:sz w:val="28"/>
          <w:szCs w:val="28"/>
        </w:rPr>
        <w:t>XXX</w:t>
      </w:r>
      <w:r>
        <w:rPr>
          <w:rFonts w:ascii="FrankRuehl" w:hAnsi="FrankRuehl" w:cs="FrankRuehl"/>
          <w:sz w:val="28"/>
          <w:szCs w:val="28"/>
          <w:rtl/>
        </w:rPr>
        <w:t xml:space="preserve"> (להלן: </w:t>
      </w:r>
      <w:r>
        <w:rPr>
          <w:rFonts w:ascii="Miriam" w:hAnsi="Miriam" w:cs="Miriam"/>
          <w:rtl/>
        </w:rPr>
        <w:t>המנוחה</w:t>
      </w:r>
      <w:r>
        <w:rPr>
          <w:rFonts w:ascii="FrankRuehl" w:hAnsi="FrankRuehl" w:cs="FrankRuehl"/>
          <w:sz w:val="28"/>
          <w:szCs w:val="28"/>
          <w:rtl/>
        </w:rPr>
        <w:t xml:space="preserve">) בידי הרשות הפלסטינית (להלן: </w:t>
      </w:r>
      <w:r>
        <w:rPr>
          <w:rFonts w:ascii="Miriam" w:hAnsi="Miriam" w:cs="Miriam"/>
          <w:rtl/>
        </w:rPr>
        <w:t>הרש"פ</w:t>
      </w:r>
      <w:r>
        <w:rPr>
          <w:rFonts w:ascii="FrankRuehl" w:hAnsi="FrankRuehl" w:cs="FrankRuehl"/>
          <w:sz w:val="28"/>
          <w:szCs w:val="28"/>
          <w:rtl/>
        </w:rPr>
        <w:t xml:space="preserve">), עקב חשד כי סייעה למדינת ישראל בסיכול פעולות טרור. </w:t>
      </w:r>
    </w:p>
    <w:p w:rsidR="00007DA4" w:rsidRDefault="00007DA4" w:rsidP="00007DA4">
      <w:pPr>
        <w:spacing w:line="360" w:lineRule="auto"/>
        <w:ind w:firstLine="720"/>
        <w:jc w:val="both"/>
        <w:rPr>
          <w:rFonts w:ascii="FrankRuehl" w:hAnsi="FrankRuehl" w:cs="FrankRuehl"/>
          <w:sz w:val="28"/>
          <w:szCs w:val="28"/>
          <w:rtl/>
        </w:rPr>
      </w:pPr>
    </w:p>
    <w:p w:rsidR="00007DA4" w:rsidRDefault="00007DA4" w:rsidP="00896564">
      <w:pPr>
        <w:spacing w:line="360" w:lineRule="auto"/>
        <w:ind w:firstLine="720"/>
        <w:jc w:val="both"/>
        <w:rPr>
          <w:rFonts w:ascii="FrankRuehl" w:hAnsi="FrankRuehl" w:cs="FrankRuehl"/>
          <w:sz w:val="28"/>
          <w:szCs w:val="28"/>
          <w:rtl/>
        </w:rPr>
      </w:pPr>
      <w:r>
        <w:rPr>
          <w:rFonts w:ascii="FrankRuehl" w:hAnsi="FrankRuehl" w:cs="FrankRuehl"/>
          <w:sz w:val="28"/>
          <w:szCs w:val="28"/>
          <w:rtl/>
        </w:rPr>
        <w:t xml:space="preserve">התובעת, </w:t>
      </w:r>
      <w:r w:rsidR="00896564">
        <w:rPr>
          <w:rFonts w:ascii="FrankRuehl" w:hAnsi="FrankRuehl" w:cs="FrankRuehl" w:hint="cs"/>
          <w:sz w:val="28"/>
          <w:szCs w:val="28"/>
        </w:rPr>
        <w:t xml:space="preserve"> XXX</w:t>
      </w:r>
      <w:bookmarkStart w:id="1" w:name="_GoBack"/>
      <w:bookmarkEnd w:id="1"/>
      <w:r>
        <w:rPr>
          <w:rFonts w:ascii="FrankRuehl" w:hAnsi="FrankRuehl" w:cs="FrankRuehl"/>
          <w:sz w:val="28"/>
          <w:szCs w:val="28"/>
          <w:rtl/>
        </w:rPr>
        <w:t xml:space="preserve">היא אמה של המנוחה, שמונתה כחליפתה בהתאם להחלטתי מיום 4.9.2022.          </w:t>
      </w:r>
    </w:p>
    <w:p w:rsidR="00007DA4" w:rsidRDefault="00007DA4" w:rsidP="00007DA4">
      <w:pPr>
        <w:pStyle w:val="ad"/>
        <w:spacing w:line="360" w:lineRule="auto"/>
        <w:ind w:left="84"/>
        <w:jc w:val="both"/>
        <w:rPr>
          <w:rFonts w:ascii="FrankRuehl" w:hAnsi="FrankRuehl" w:cs="FrankRuehl"/>
          <w:sz w:val="6"/>
          <w:szCs w:val="6"/>
        </w:rPr>
      </w:pPr>
    </w:p>
    <w:p w:rsidR="00007DA4" w:rsidRPr="00007DA4" w:rsidRDefault="00007DA4" w:rsidP="00007DA4">
      <w:pPr>
        <w:pStyle w:val="ad"/>
        <w:spacing w:line="600" w:lineRule="auto"/>
        <w:ind w:left="84"/>
        <w:jc w:val="both"/>
        <w:rPr>
          <w:rFonts w:ascii="FrankRuehl" w:hAnsi="FrankRuehl" w:cs="FrankRuehl"/>
          <w:b/>
          <w:bCs/>
          <w:sz w:val="10"/>
          <w:szCs w:val="10"/>
          <w:u w:val="single"/>
          <w:rtl/>
        </w:rPr>
      </w:pPr>
    </w:p>
    <w:p w:rsidR="00007DA4" w:rsidRDefault="00007DA4" w:rsidP="00007DA4">
      <w:pPr>
        <w:pStyle w:val="ad"/>
        <w:spacing w:line="600" w:lineRule="auto"/>
        <w:ind w:left="84"/>
        <w:jc w:val="both"/>
        <w:rPr>
          <w:rFonts w:ascii="FrankRuehl" w:hAnsi="FrankRuehl" w:cs="FrankRuehl"/>
          <w:b/>
          <w:bCs/>
          <w:sz w:val="28"/>
          <w:szCs w:val="28"/>
          <w:u w:val="single"/>
          <w:rtl/>
        </w:rPr>
      </w:pPr>
      <w:r>
        <w:rPr>
          <w:rFonts w:ascii="FrankRuehl" w:hAnsi="FrankRuehl" w:cs="FrankRuehl"/>
          <w:b/>
          <w:bCs/>
          <w:sz w:val="28"/>
          <w:szCs w:val="28"/>
          <w:u w:val="single"/>
          <w:rtl/>
        </w:rPr>
        <w:t xml:space="preserve">רקע </w:t>
      </w:r>
    </w:p>
    <w:p w:rsidR="00007DA4" w:rsidRDefault="00007DA4" w:rsidP="00007DA4">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המנוחה ילידת 24.12.1982 היא אחת מבין 65 תובעים שהגישו חמש תביעות נגד הרש"פ, בין השנים 2003-2009 (ת"א 5074/03, 6120/04, 7123/05, 2129/08 ו - 3144/09) בטענה כי נחטפו נכלאו, עונו (לגבי המנוחה נטען גם שנרצחה), בין השנים 1996 ועד לשנת 2002,  עקב חשד כי סייעו למדינת ישראל בסיכול פעולות טרור. חמש התביעות אוחדו והדיון בהן פוצל בין שאלת האחריות לשאלת הנזק.   </w:t>
      </w:r>
    </w:p>
    <w:p w:rsidR="00007DA4" w:rsidRDefault="00007DA4" w:rsidP="00007DA4">
      <w:pPr>
        <w:pStyle w:val="ad"/>
        <w:spacing w:line="360" w:lineRule="auto"/>
        <w:ind w:left="84"/>
        <w:jc w:val="both"/>
        <w:rPr>
          <w:rFonts w:ascii="FrankRuehl" w:hAnsi="FrankRuehl" w:cs="FrankRuehl"/>
          <w:sz w:val="28"/>
          <w:szCs w:val="28"/>
          <w:rtl/>
        </w:rPr>
      </w:pPr>
      <w:r>
        <w:rPr>
          <w:rFonts w:ascii="FrankRuehl" w:hAnsi="FrankRuehl" w:cs="FrankRuehl"/>
          <w:sz w:val="28"/>
          <w:szCs w:val="28"/>
          <w:rtl/>
        </w:rPr>
        <w:t xml:space="preserve"> </w:t>
      </w:r>
    </w:p>
    <w:p w:rsidR="00007DA4" w:rsidRDefault="00007DA4" w:rsidP="00007DA4">
      <w:pPr>
        <w:pStyle w:val="ad"/>
        <w:spacing w:line="360" w:lineRule="auto"/>
        <w:ind w:left="84"/>
        <w:jc w:val="both"/>
        <w:rPr>
          <w:rFonts w:ascii="FrankRuehl" w:hAnsi="FrankRuehl" w:cs="FrankRuehl"/>
          <w:sz w:val="2"/>
          <w:szCs w:val="2"/>
        </w:rPr>
      </w:pPr>
    </w:p>
    <w:p w:rsidR="00007DA4" w:rsidRDefault="00007DA4" w:rsidP="00007DA4">
      <w:pPr>
        <w:pStyle w:val="ad"/>
        <w:spacing w:line="360" w:lineRule="auto"/>
        <w:ind w:left="84"/>
        <w:jc w:val="both"/>
        <w:rPr>
          <w:rFonts w:ascii="FrankRuehl" w:hAnsi="FrankRuehl" w:cs="FrankRuehl"/>
          <w:sz w:val="4"/>
          <w:szCs w:val="4"/>
          <w:rtl/>
        </w:rPr>
      </w:pPr>
      <w:r>
        <w:rPr>
          <w:rFonts w:ascii="FrankRuehl" w:hAnsi="FrankRuehl" w:cs="FrankRuehl"/>
          <w:sz w:val="28"/>
          <w:szCs w:val="28"/>
          <w:rtl/>
        </w:rPr>
        <w:t>2.</w:t>
      </w:r>
      <w:r>
        <w:rPr>
          <w:rFonts w:ascii="FrankRuehl" w:hAnsi="FrankRuehl" w:cs="FrankRuehl"/>
          <w:sz w:val="28"/>
          <w:szCs w:val="28"/>
          <w:rtl/>
        </w:rPr>
        <w:tab/>
        <w:t xml:space="preserve">בהחלטה מיום 24.4.2017 שבה נדונו עניינם של 54 תובעים (להלן: </w:t>
      </w:r>
      <w:r>
        <w:rPr>
          <w:rFonts w:ascii="Miriam" w:hAnsi="Miriam" w:cs="Miriam"/>
          <w:sz w:val="24"/>
          <w:szCs w:val="24"/>
          <w:rtl/>
        </w:rPr>
        <w:t>החלטת החבות</w:t>
      </w:r>
      <w:r>
        <w:rPr>
          <w:rFonts w:ascii="FrankRuehl" w:hAnsi="FrankRuehl" w:cs="FrankRuehl"/>
          <w:sz w:val="28"/>
          <w:szCs w:val="28"/>
          <w:rtl/>
        </w:rPr>
        <w:t xml:space="preserve">), קבע כב' סגן הנשיא (בדימוס) </w:t>
      </w:r>
      <w:r>
        <w:rPr>
          <w:rFonts w:ascii="Miriam" w:hAnsi="Miriam" w:cs="Miriam"/>
          <w:sz w:val="24"/>
          <w:szCs w:val="24"/>
          <w:rtl/>
        </w:rPr>
        <w:t>מ' דרורי,</w:t>
      </w:r>
      <w:r>
        <w:rPr>
          <w:rFonts w:ascii="FrankRuehl" w:hAnsi="FrankRuehl" w:cs="FrankRuehl"/>
          <w:sz w:val="28"/>
          <w:szCs w:val="28"/>
          <w:rtl/>
        </w:rPr>
        <w:t xml:space="preserve"> שהמנוחה נכלאה שלא כדין, עקב חשד שנטלה חלק </w:t>
      </w:r>
      <w:r>
        <w:rPr>
          <w:rFonts w:ascii="FrankRuehl" w:hAnsi="FrankRuehl" w:cs="FrankRuehl"/>
          <w:sz w:val="28"/>
          <w:szCs w:val="28"/>
          <w:rtl/>
        </w:rPr>
        <w:lastRenderedPageBreak/>
        <w:t xml:space="preserve">בחיסול של </w:t>
      </w:r>
      <w:proofErr w:type="spellStart"/>
      <w:r>
        <w:rPr>
          <w:rFonts w:ascii="FrankRuehl" w:hAnsi="FrankRuehl" w:cs="FrankRuehl"/>
          <w:sz w:val="28"/>
          <w:szCs w:val="28"/>
          <w:rtl/>
        </w:rPr>
        <w:t>ראאד</w:t>
      </w:r>
      <w:proofErr w:type="spellEnd"/>
      <w:r>
        <w:rPr>
          <w:rFonts w:ascii="FrankRuehl" w:hAnsi="FrankRuehl" w:cs="FrankRuehl"/>
          <w:sz w:val="28"/>
          <w:szCs w:val="28"/>
          <w:rtl/>
        </w:rPr>
        <w:t xml:space="preserve"> אל כרמי (פסקאות 5797-5796 להחלטת החבות) מיום 25.8.2001 ועד ליום 29.8.2001 (מדובר בתקופה בת 5 ימים ואולם במסגרת בקשה שהוגשה בהסכמה וקבלה תוקף של החלטה ביום 18.12.2018 בתא 5073-03 תוקנה בין היתר התקופה שבה נכלאה המנוחה והועמדה על 4 ימים). כן נקבע שהמנוחה הומתה בכוונה על ידי מי מטעם הרש"פ (פסקה 5785 להחלטת החבות). יוער כי השופט </w:t>
      </w:r>
      <w:r>
        <w:rPr>
          <w:rFonts w:ascii="Miriam" w:hAnsi="Miriam" w:cs="Miriam"/>
          <w:sz w:val="24"/>
          <w:szCs w:val="24"/>
          <w:rtl/>
        </w:rPr>
        <w:t>דרורי</w:t>
      </w:r>
      <w:r>
        <w:rPr>
          <w:rFonts w:ascii="FrankRuehl" w:hAnsi="FrankRuehl" w:cs="FrankRuehl"/>
          <w:sz w:val="28"/>
          <w:szCs w:val="28"/>
          <w:rtl/>
        </w:rPr>
        <w:t xml:space="preserve"> קבע בפסקה 5785 הנ"ל שהמנוחה "</w:t>
      </w:r>
      <w:r>
        <w:rPr>
          <w:rFonts w:ascii="Miriam" w:hAnsi="Miriam" w:cs="Miriam"/>
          <w:sz w:val="24"/>
          <w:szCs w:val="24"/>
          <w:rtl/>
        </w:rPr>
        <w:t>הומתה ברשלנותה המכוונת על ידי מי מטעם הרש"פ</w:t>
      </w:r>
      <w:r>
        <w:rPr>
          <w:rFonts w:ascii="FrankRuehl" w:hAnsi="FrankRuehl" w:cs="FrankRuehl"/>
          <w:sz w:val="28"/>
          <w:szCs w:val="28"/>
          <w:rtl/>
        </w:rPr>
        <w:t xml:space="preserve">". אולם מקריאת מכלול הדיון וההכרעה של השופט </w:t>
      </w:r>
      <w:r>
        <w:rPr>
          <w:rFonts w:ascii="Miriam" w:hAnsi="Miriam" w:cs="Miriam"/>
          <w:sz w:val="24"/>
          <w:szCs w:val="24"/>
          <w:rtl/>
        </w:rPr>
        <w:t>דרורי</w:t>
      </w:r>
      <w:r>
        <w:rPr>
          <w:rFonts w:ascii="FrankRuehl" w:hAnsi="FrankRuehl" w:cs="FrankRuehl"/>
          <w:sz w:val="28"/>
          <w:szCs w:val="28"/>
          <w:rtl/>
        </w:rPr>
        <w:t xml:space="preserve">, עולה בפירוש שכוונתו הייתה לקבוע שהמנוחה נהרגה בכוונה על ידי הרש"פ ולא ברשלנות ולמעשה גם הרש"פ אינה טוענת אחרת. זאת בין היתר משום שבהחלטת החבות התקבלה גרסת בני משפחת המנוחה לפיה לאחר מעצרה של המנוחה על ידי הרש"פ, אדם מטעם הרש"פ בשם </w:t>
      </w:r>
      <w:proofErr w:type="spellStart"/>
      <w:r>
        <w:rPr>
          <w:rFonts w:ascii="FrankRuehl" w:hAnsi="FrankRuehl" w:cs="FrankRuehl"/>
          <w:sz w:val="28"/>
          <w:szCs w:val="28"/>
          <w:rtl/>
        </w:rPr>
        <w:t>עדנאן</w:t>
      </w:r>
      <w:proofErr w:type="spellEnd"/>
      <w:r>
        <w:rPr>
          <w:rFonts w:ascii="FrankRuehl" w:hAnsi="FrankRuehl" w:cs="FrankRuehl"/>
          <w:sz w:val="28"/>
          <w:szCs w:val="28"/>
          <w:rtl/>
        </w:rPr>
        <w:t xml:space="preserve"> אמר להם "הרגנו אותה" ושיבואו לקחת את גופת המנוחה, וכן משום שהנטל להוכיח שהמנוחה לא נרצחה על ידי הרש"פ עבר אל הרש"פ והיא לא הרימה את הנטל (שם, פסקאות 5754- 5753 וכן 5779 פסקאות ו-5785). יוער כי טענת התובעת לפיה המנוחה עונתה קודם רציחתה לא הוכחה. (פסקה  5799 להחלטת החבות).</w:t>
      </w:r>
      <w:r>
        <w:rPr>
          <w:rFonts w:ascii="FrankRuehl" w:hAnsi="FrankRuehl" w:cs="FrankRuehl"/>
          <w:sz w:val="4"/>
          <w:szCs w:val="4"/>
          <w:rtl/>
        </w:rPr>
        <w:t>ט</w:t>
      </w:r>
    </w:p>
    <w:p w:rsidR="00007DA4" w:rsidRDefault="00007DA4" w:rsidP="00007DA4">
      <w:pPr>
        <w:pStyle w:val="ad"/>
        <w:spacing w:line="360" w:lineRule="auto"/>
        <w:ind w:left="84"/>
        <w:jc w:val="both"/>
        <w:rPr>
          <w:rFonts w:ascii="FrankRuehl" w:hAnsi="FrankRuehl" w:cs="FrankRuehl"/>
          <w:sz w:val="4"/>
          <w:szCs w:val="4"/>
          <w:rtl/>
        </w:rPr>
      </w:pPr>
    </w:p>
    <w:p w:rsidR="00007DA4" w:rsidRDefault="00007DA4" w:rsidP="00007DA4">
      <w:pPr>
        <w:pStyle w:val="ad"/>
        <w:spacing w:line="360" w:lineRule="auto"/>
        <w:ind w:left="84"/>
        <w:jc w:val="both"/>
        <w:rPr>
          <w:rFonts w:ascii="FrankRuehl" w:hAnsi="FrankRuehl" w:cs="FrankRuehl"/>
          <w:sz w:val="4"/>
          <w:szCs w:val="4"/>
          <w:rtl/>
        </w:rPr>
      </w:pPr>
    </w:p>
    <w:p w:rsidR="00007DA4" w:rsidRDefault="00007DA4" w:rsidP="00007DA4">
      <w:pPr>
        <w:pStyle w:val="ad"/>
        <w:spacing w:line="360" w:lineRule="auto"/>
        <w:ind w:left="84"/>
        <w:jc w:val="both"/>
        <w:rPr>
          <w:rFonts w:ascii="FrankRuehl" w:hAnsi="FrankRuehl" w:cs="FrankRuehl"/>
          <w:sz w:val="4"/>
          <w:szCs w:val="4"/>
          <w:rtl/>
        </w:rPr>
      </w:pPr>
    </w:p>
    <w:p w:rsidR="00007DA4" w:rsidRDefault="00007DA4" w:rsidP="00007DA4">
      <w:pPr>
        <w:pStyle w:val="ad"/>
        <w:spacing w:line="360" w:lineRule="auto"/>
        <w:ind w:left="84"/>
        <w:jc w:val="both"/>
        <w:rPr>
          <w:rFonts w:ascii="FrankRuehl" w:hAnsi="FrankRuehl" w:cs="FrankRuehl"/>
          <w:sz w:val="4"/>
          <w:szCs w:val="4"/>
        </w:rPr>
      </w:pPr>
    </w:p>
    <w:p w:rsidR="00007DA4" w:rsidRDefault="00007DA4" w:rsidP="00007DA4">
      <w:pPr>
        <w:pStyle w:val="ad"/>
        <w:rPr>
          <w:rFonts w:ascii="FrankRuehl" w:hAnsi="FrankRuehl" w:cs="FrankRuehl"/>
          <w:sz w:val="4"/>
          <w:szCs w:val="4"/>
        </w:rPr>
      </w:pPr>
    </w:p>
    <w:p w:rsidR="00007DA4" w:rsidRDefault="00007DA4" w:rsidP="00007DA4">
      <w:pPr>
        <w:pStyle w:val="ad"/>
        <w:numPr>
          <w:ilvl w:val="0"/>
          <w:numId w:val="2"/>
        </w:numPr>
        <w:spacing w:line="360" w:lineRule="auto"/>
        <w:ind w:left="84" w:firstLine="0"/>
        <w:jc w:val="both"/>
        <w:rPr>
          <w:rFonts w:ascii="FrankRuehl" w:hAnsi="FrankRuehl" w:cs="FrankRuehl"/>
          <w:sz w:val="4"/>
          <w:szCs w:val="4"/>
          <w:rtl/>
        </w:rPr>
      </w:pPr>
    </w:p>
    <w:p w:rsidR="00007DA4" w:rsidRDefault="00007DA4" w:rsidP="00007DA4">
      <w:pPr>
        <w:pStyle w:val="ad"/>
        <w:numPr>
          <w:ilvl w:val="0"/>
          <w:numId w:val="2"/>
        </w:numPr>
        <w:spacing w:line="360" w:lineRule="auto"/>
        <w:ind w:left="84" w:firstLine="0"/>
        <w:jc w:val="both"/>
        <w:rPr>
          <w:rFonts w:ascii="FrankRuehl" w:hAnsi="FrankRuehl" w:cs="FrankRuehl"/>
          <w:sz w:val="28"/>
          <w:szCs w:val="28"/>
        </w:rPr>
      </w:pPr>
      <w:r>
        <w:rPr>
          <w:rFonts w:ascii="FrankRuehl" w:hAnsi="FrankRuehl" w:cs="FrankRuehl"/>
          <w:sz w:val="28"/>
          <w:szCs w:val="28"/>
          <w:rtl/>
        </w:rPr>
        <w:t xml:space="preserve">ביום 28.6.2018 ניתן לבקשת התובעים פסק דין חלקי בעילה של כליאת שווא ונפסק שכל אחד מן התובעים זכאי לסכום של 422 ₪ בגין כל יום שבו הוא היה כלוא (בהתאם לשיעור הפיצוי הקבוע בתקנה 8 לתקנות סדר הדין הפלילי (פיצויים בשל מעצר או מאסר, </w:t>
      </w:r>
      <w:proofErr w:type="spellStart"/>
      <w:r>
        <w:rPr>
          <w:rFonts w:ascii="FrankRuehl" w:hAnsi="FrankRuehl" w:cs="FrankRuehl"/>
          <w:sz w:val="28"/>
          <w:szCs w:val="28"/>
          <w:rtl/>
        </w:rPr>
        <w:t>התשמ"ב</w:t>
      </w:r>
      <w:proofErr w:type="spellEnd"/>
      <w:r>
        <w:rPr>
          <w:rFonts w:ascii="FrankRuehl" w:hAnsi="FrankRuehl" w:cs="FrankRuehl"/>
          <w:sz w:val="28"/>
          <w:szCs w:val="28"/>
          <w:rtl/>
        </w:rPr>
        <w:t xml:space="preserve"> - 1982)(להלן: </w:t>
      </w:r>
      <w:r>
        <w:rPr>
          <w:rFonts w:ascii="Miriam" w:hAnsi="Miriam" w:cs="Miriam"/>
          <w:sz w:val="24"/>
          <w:szCs w:val="24"/>
          <w:rtl/>
        </w:rPr>
        <w:t>פסק הדין החלקי</w:t>
      </w:r>
      <w:r>
        <w:rPr>
          <w:rFonts w:ascii="FrankRuehl" w:hAnsi="FrankRuehl" w:cs="FrankRuehl"/>
          <w:sz w:val="28"/>
          <w:szCs w:val="28"/>
          <w:rtl/>
        </w:rPr>
        <w:t xml:space="preserve">). כפועל יוצא נפסק לתובעת במסגרת פסק הדין החלקי בגין כליאת השווא, למשך 4 ימים פיצוי בסך 1,688 ₪ בתוספת 10% שכר טרחה (נכון ליום מתן פסק הדין החלקי).  </w:t>
      </w:r>
    </w:p>
    <w:p w:rsidR="00007DA4" w:rsidRDefault="00007DA4" w:rsidP="00007DA4">
      <w:pPr>
        <w:pStyle w:val="ad"/>
        <w:spacing w:line="360" w:lineRule="auto"/>
        <w:ind w:left="84"/>
        <w:jc w:val="both"/>
        <w:rPr>
          <w:rFonts w:ascii="FrankRuehl" w:hAnsi="FrankRuehl" w:cs="FrankRuehl"/>
          <w:sz w:val="28"/>
          <w:szCs w:val="28"/>
        </w:rPr>
      </w:pPr>
    </w:p>
    <w:p w:rsidR="00007DA4" w:rsidRDefault="00007DA4" w:rsidP="00007DA4">
      <w:pPr>
        <w:pStyle w:val="ad"/>
        <w:spacing w:line="360" w:lineRule="auto"/>
        <w:ind w:left="84"/>
        <w:jc w:val="both"/>
        <w:rPr>
          <w:rFonts w:ascii="FrankRuehl" w:hAnsi="FrankRuehl" w:cs="FrankRuehl"/>
          <w:sz w:val="2"/>
          <w:szCs w:val="2"/>
        </w:rPr>
      </w:pPr>
    </w:p>
    <w:p w:rsidR="00007DA4" w:rsidRDefault="00007DA4" w:rsidP="00007DA4">
      <w:pPr>
        <w:pStyle w:val="ad"/>
        <w:spacing w:line="360" w:lineRule="auto"/>
        <w:ind w:left="84" w:firstLine="636"/>
        <w:jc w:val="both"/>
        <w:rPr>
          <w:rFonts w:ascii="FrankRuehl" w:hAnsi="FrankRuehl" w:cs="FrankRuehl"/>
          <w:sz w:val="2"/>
          <w:szCs w:val="2"/>
          <w:rtl/>
        </w:rPr>
      </w:pPr>
      <w:r>
        <w:rPr>
          <w:rFonts w:ascii="FrankRuehl" w:hAnsi="FrankRuehl" w:cs="FrankRuehl"/>
          <w:sz w:val="28"/>
          <w:szCs w:val="28"/>
          <w:rtl/>
        </w:rPr>
        <w:t xml:space="preserve">לאחר מתן פסק הדין החלקי הוחלט על פיצול התביעות להליכים נפרדים, על מנת שניתן יהיה לדון בנזקו הספציפי של כל תובע בנפרד ומכאן ההליך שבפניי.  </w:t>
      </w:r>
    </w:p>
    <w:p w:rsidR="00007DA4" w:rsidRDefault="00007DA4" w:rsidP="00007DA4">
      <w:pPr>
        <w:pStyle w:val="ad"/>
        <w:spacing w:line="360" w:lineRule="auto"/>
        <w:ind w:left="84"/>
        <w:jc w:val="both"/>
        <w:rPr>
          <w:rFonts w:ascii="FrankRuehl" w:hAnsi="FrankRuehl" w:cs="FrankRuehl"/>
          <w:sz w:val="2"/>
          <w:szCs w:val="2"/>
        </w:rPr>
      </w:pPr>
    </w:p>
    <w:p w:rsidR="00007DA4" w:rsidRDefault="00007DA4" w:rsidP="00007DA4">
      <w:pPr>
        <w:pStyle w:val="ad"/>
        <w:spacing w:line="360" w:lineRule="auto"/>
        <w:ind w:left="84"/>
        <w:jc w:val="both"/>
        <w:rPr>
          <w:rFonts w:ascii="FrankRuehl" w:hAnsi="FrankRuehl" w:cs="FrankRuehl"/>
          <w:sz w:val="2"/>
          <w:szCs w:val="2"/>
          <w:rtl/>
        </w:rPr>
      </w:pPr>
    </w:p>
    <w:p w:rsidR="00007DA4" w:rsidRDefault="00007DA4" w:rsidP="00007DA4">
      <w:pPr>
        <w:pStyle w:val="Ruller41"/>
        <w:rPr>
          <w:sz w:val="22"/>
          <w:szCs w:val="26"/>
        </w:rPr>
      </w:pPr>
      <w:r>
        <w:rPr>
          <w:rtl/>
        </w:rPr>
        <w:tab/>
        <w:t xml:space="preserve">יוער כי במקביל לדיון הפרטני המתנהל בשאלת הנזק, הוגשו על פסק הדין החלקי שלושה ערעורים לבית המשפט העליון (ע"א 5105/17, 6840/18, 6966/18 </w:t>
      </w:r>
      <w:r>
        <w:rPr>
          <w:rFonts w:ascii="Miriam" w:hAnsi="Miriam" w:cs="Miriam"/>
          <w:sz w:val="24"/>
          <w:szCs w:val="24"/>
          <w:rtl/>
        </w:rPr>
        <w:t>פלונים נ' הרשות הפלסטינית</w:t>
      </w:r>
      <w:r>
        <w:rPr>
          <w:rtl/>
        </w:rPr>
        <w:t xml:space="preserve"> (11.5.2021) (להלן: עניין </w:t>
      </w:r>
      <w:r>
        <w:rPr>
          <w:rFonts w:ascii="Miriam" w:hAnsi="Miriam" w:cs="Miriam"/>
          <w:sz w:val="24"/>
          <w:szCs w:val="24"/>
          <w:rtl/>
        </w:rPr>
        <w:t>פלונים</w:t>
      </w:r>
      <w:r>
        <w:rPr>
          <w:rtl/>
        </w:rPr>
        <w:t xml:space="preserve">). ההכרעות בעניין </w:t>
      </w:r>
      <w:r>
        <w:rPr>
          <w:rFonts w:ascii="Miriam" w:hAnsi="Miriam" w:cs="Miriam"/>
          <w:sz w:val="24"/>
          <w:szCs w:val="24"/>
          <w:rtl/>
        </w:rPr>
        <w:t>פלונים</w:t>
      </w:r>
      <w:r>
        <w:rPr>
          <w:rtl/>
        </w:rPr>
        <w:t xml:space="preserve"> פורטו בפסק דיני בתא 1405-09-19 </w:t>
      </w:r>
      <w:r>
        <w:rPr>
          <w:rFonts w:ascii="Miriam" w:hAnsi="Miriam" w:cs="Miriam"/>
          <w:sz w:val="24"/>
          <w:szCs w:val="24"/>
          <w:rtl/>
        </w:rPr>
        <w:t>פלוני נ' הרשות הפלסטינית</w:t>
      </w:r>
      <w:r>
        <w:rPr>
          <w:rtl/>
        </w:rPr>
        <w:t xml:space="preserve"> (12.2.2023), העוסק אף הוא בתביעה נגד הרש"פ בגין כליאת שווא ועינויים  (להלן: </w:t>
      </w:r>
      <w:r>
        <w:rPr>
          <w:rFonts w:ascii="Miriam" w:hAnsi="Miriam" w:cs="Miriam"/>
          <w:sz w:val="24"/>
          <w:szCs w:val="24"/>
          <w:rtl/>
        </w:rPr>
        <w:t>עניין פלוני 1</w:t>
      </w:r>
      <w:r>
        <w:rPr>
          <w:rtl/>
        </w:rPr>
        <w:t xml:space="preserve">). </w:t>
      </w:r>
      <w:r>
        <w:rPr>
          <w:rtl/>
        </w:rPr>
        <w:lastRenderedPageBreak/>
        <w:t xml:space="preserve">אציין בקצרה כי בעניין </w:t>
      </w:r>
      <w:r>
        <w:rPr>
          <w:rFonts w:ascii="Miriam" w:hAnsi="Miriam" w:cs="Miriam"/>
          <w:sz w:val="24"/>
          <w:szCs w:val="24"/>
          <w:rtl/>
        </w:rPr>
        <w:t>פלונים</w:t>
      </w:r>
      <w:r>
        <w:rPr>
          <w:rtl/>
        </w:rPr>
        <w:t xml:space="preserve"> התקבלו טענות התובעים לפיהן הרש"פ איננה מוסמכת לעצור אזרחים ישראלים או תושבים פלסטינים שחשודים בסיוע למדינת ישראל בסיכול טרור ולכן התובעים שנעצרו בגין חשד כאמור, זכאים לפיצוי בגין כליאת השווא וכן לפיצוי בגין העינויים שחוו או בגין רציחתם על ידי הרש"פ במהלך מעצרם שלא כדין, כפי שאירע לגבי המנוחה.  לכן נותר לדון בשאלת הנזק. </w:t>
      </w:r>
    </w:p>
    <w:p w:rsidR="00007DA4" w:rsidRDefault="00007DA4" w:rsidP="00007DA4">
      <w:pPr>
        <w:pStyle w:val="Ruller41"/>
        <w:rPr>
          <w:szCs w:val="26"/>
          <w:rtl/>
        </w:rPr>
      </w:pPr>
    </w:p>
    <w:p w:rsidR="00007DA4" w:rsidRDefault="00007DA4" w:rsidP="00007DA4">
      <w:pPr>
        <w:pStyle w:val="Ruller41"/>
        <w:rPr>
          <w:szCs w:val="26"/>
          <w:rtl/>
        </w:rPr>
      </w:pPr>
      <w:r>
        <w:rPr>
          <w:szCs w:val="26"/>
          <w:rtl/>
        </w:rPr>
        <w:tab/>
        <w:t xml:space="preserve">במסגרת הדיון בשאלת הנזק הסכימו הצדדים להסתפק בהגשת תצהיר מאת התובעת בקשר לעיסוקי המנוחה קודם מותה, ולעבור מיד לשלב הסיכומים. </w:t>
      </w:r>
    </w:p>
    <w:p w:rsidR="00007DA4" w:rsidRDefault="00007DA4" w:rsidP="00007DA4">
      <w:pPr>
        <w:pStyle w:val="Ruller41"/>
        <w:tabs>
          <w:tab w:val="left" w:pos="43"/>
        </w:tabs>
        <w:ind w:left="84"/>
        <w:rPr>
          <w:rtl/>
        </w:rPr>
      </w:pPr>
    </w:p>
    <w:p w:rsidR="00007DA4" w:rsidRDefault="00007DA4" w:rsidP="00007DA4">
      <w:pPr>
        <w:pStyle w:val="Ruller41"/>
        <w:rPr>
          <w:b/>
          <w:bCs/>
          <w:u w:val="single"/>
          <w:rtl/>
        </w:rPr>
      </w:pPr>
      <w:r>
        <w:rPr>
          <w:b/>
          <w:bCs/>
          <w:u w:val="single"/>
          <w:rtl/>
        </w:rPr>
        <w:t>הנזק</w:t>
      </w:r>
    </w:p>
    <w:p w:rsidR="00007DA4" w:rsidRDefault="00007DA4" w:rsidP="00007DA4">
      <w:pPr>
        <w:pStyle w:val="Ruller41"/>
        <w:rPr>
          <w:b/>
          <w:bCs/>
          <w:u w:val="single"/>
          <w:rtl/>
        </w:rPr>
      </w:pPr>
    </w:p>
    <w:p w:rsidR="00007DA4" w:rsidRDefault="00007DA4" w:rsidP="00007DA4">
      <w:pPr>
        <w:pStyle w:val="Ruller41"/>
        <w:rPr>
          <w:szCs w:val="26"/>
          <w:rtl/>
        </w:rPr>
      </w:pPr>
      <w:r>
        <w:rPr>
          <w:rtl/>
        </w:rPr>
        <w:t>4.</w:t>
      </w:r>
      <w:r>
        <w:rPr>
          <w:rtl/>
        </w:rPr>
        <w:tab/>
        <w:t xml:space="preserve">העוולות נשוא התביעה בוצעו בשטחי הרשות הפלסטינית. כידוע, בהתאם לכללי המשפט הבינלאומי הפרטי, במצב הדברים הרגיל, הדין החל על עוולות </w:t>
      </w:r>
      <w:proofErr w:type="spellStart"/>
      <w:r>
        <w:rPr>
          <w:rtl/>
        </w:rPr>
        <w:t>בנזיקין</w:t>
      </w:r>
      <w:proofErr w:type="spellEnd"/>
      <w:r>
        <w:rPr>
          <w:rtl/>
        </w:rPr>
        <w:t xml:space="preserve"> הוא דין מקום ביצוע העוולה. עם זאת במקרה דנן, נוכח פסיקת בית המשפט העליון בעניין </w:t>
      </w:r>
      <w:r>
        <w:rPr>
          <w:rFonts w:ascii="Miriam" w:hAnsi="Miriam" w:cs="Miriam"/>
          <w:sz w:val="24"/>
          <w:szCs w:val="24"/>
          <w:rtl/>
        </w:rPr>
        <w:t>פלונים</w:t>
      </w:r>
      <w:r>
        <w:rPr>
          <w:rtl/>
        </w:rPr>
        <w:t xml:space="preserve"> (פסקה 9 ) כפי שפורשה על ידי בהחלטתי מיום 4.11.2021 (במסגרת ת"א 23420-06-17 </w:t>
      </w:r>
      <w:r>
        <w:rPr>
          <w:rFonts w:ascii="Miriam" w:hAnsi="Miriam" w:cs="Miriam"/>
          <w:sz w:val="24"/>
          <w:szCs w:val="24"/>
          <w:rtl/>
        </w:rPr>
        <w:t>פלוני נ' הרשות הפלסטינית</w:t>
      </w:r>
      <w:r>
        <w:rPr>
          <w:rtl/>
        </w:rPr>
        <w:t xml:space="preserve">), הדין החל על כלל תיקי התובעים שעניינם נדון בעניין </w:t>
      </w:r>
      <w:r>
        <w:rPr>
          <w:rFonts w:ascii="Miriam" w:hAnsi="Miriam" w:cs="Miriam"/>
          <w:sz w:val="24"/>
          <w:szCs w:val="24"/>
          <w:rtl/>
        </w:rPr>
        <w:t>פלונים</w:t>
      </w:r>
      <w:r>
        <w:rPr>
          <w:rtl/>
        </w:rPr>
        <w:t xml:space="preserve">, לרבות התובעת שבפניי, הוא הדין הישראלי. לכן ראשי הנזק השונים יידונו להלן בהתאם לדין הישראלי. עם זאת נוכח העובדה שהמנוחה הייתה תושבת הרש"פ בעת רציחתה, הפיצוי בגין הנזק הממוני יעשה בהתאם לעלויות והשכר ברש"פ. לעומת זאת הערכת הפיצוי בגין הנזק הלא ממוני תעשה </w:t>
      </w:r>
      <w:r>
        <w:rPr>
          <w:rFonts w:ascii="Miriam" w:hAnsi="Miriam" w:cs="Miriam"/>
          <w:rtl/>
        </w:rPr>
        <w:t>"</w:t>
      </w:r>
      <w:r>
        <w:rPr>
          <w:rFonts w:ascii="Miriam" w:hAnsi="Miriam" w:cs="Miriam"/>
          <w:sz w:val="24"/>
          <w:szCs w:val="24"/>
          <w:rtl/>
        </w:rPr>
        <w:t xml:space="preserve">על-פי אמות המידה הישראליות המשקפות את ההערכה הישראלית בעניין זה", </w:t>
      </w:r>
      <w:r>
        <w:rPr>
          <w:rFonts w:ascii="FrankRuehl" w:hAnsi="FrankRuehl"/>
          <w:sz w:val="28"/>
          <w:rtl/>
        </w:rPr>
        <w:t xml:space="preserve">ללא התחשבות במקום מושבו של הנפגע </w:t>
      </w:r>
      <w:r>
        <w:rPr>
          <w:sz w:val="28"/>
          <w:rtl/>
        </w:rPr>
        <w:t>בעת האירוע או בעת פסיקת הפיצוי</w:t>
      </w:r>
      <w:r>
        <w:rPr>
          <w:szCs w:val="26"/>
          <w:rtl/>
        </w:rPr>
        <w:t xml:space="preserve"> (</w:t>
      </w:r>
      <w:r>
        <w:rPr>
          <w:sz w:val="28"/>
          <w:rtl/>
        </w:rPr>
        <w:t>ע"א 702/87</w:t>
      </w:r>
      <w:r>
        <w:rPr>
          <w:szCs w:val="26"/>
          <w:rtl/>
        </w:rPr>
        <w:t xml:space="preserve"> </w:t>
      </w:r>
      <w:r>
        <w:rPr>
          <w:rFonts w:ascii="Miriam" w:hAnsi="Miriam" w:cs="Miriam"/>
          <w:sz w:val="24"/>
          <w:szCs w:val="24"/>
          <w:rtl/>
        </w:rPr>
        <w:t>מדינת ישראל נ' ג'ון כהן</w:t>
      </w:r>
      <w:r>
        <w:rPr>
          <w:szCs w:val="26"/>
          <w:rtl/>
        </w:rPr>
        <w:t xml:space="preserve">, </w:t>
      </w:r>
      <w:r>
        <w:rPr>
          <w:sz w:val="28"/>
          <w:rtl/>
        </w:rPr>
        <w:t>פ"ד מח(2) 705, 727 (1994)).</w:t>
      </w:r>
      <w:r>
        <w:rPr>
          <w:szCs w:val="26"/>
          <w:rtl/>
        </w:rPr>
        <w:t xml:space="preserve"> </w:t>
      </w:r>
    </w:p>
    <w:p w:rsidR="00007DA4" w:rsidRDefault="00007DA4" w:rsidP="00007DA4">
      <w:pPr>
        <w:pStyle w:val="Ruller41"/>
        <w:rPr>
          <w:b/>
          <w:bCs/>
          <w:u w:val="single"/>
          <w:rtl/>
        </w:rPr>
      </w:pPr>
    </w:p>
    <w:p w:rsidR="00007DA4" w:rsidRDefault="00007DA4" w:rsidP="00007DA4">
      <w:pPr>
        <w:pStyle w:val="Ruller41"/>
        <w:rPr>
          <w:b/>
          <w:bCs/>
          <w:u w:val="single"/>
          <w:rtl/>
        </w:rPr>
      </w:pPr>
      <w:r>
        <w:rPr>
          <w:b/>
          <w:bCs/>
          <w:u w:val="single"/>
          <w:rtl/>
        </w:rPr>
        <w:t>כליאת שווא</w:t>
      </w:r>
    </w:p>
    <w:p w:rsidR="00007DA4" w:rsidRDefault="00007DA4" w:rsidP="00007DA4">
      <w:pPr>
        <w:pStyle w:val="Ruller41"/>
        <w:rPr>
          <w:b/>
          <w:bCs/>
          <w:u w:val="single"/>
          <w:rtl/>
        </w:rPr>
      </w:pPr>
    </w:p>
    <w:p w:rsidR="00007DA4" w:rsidRDefault="00007DA4" w:rsidP="00007DA4">
      <w:pPr>
        <w:pStyle w:val="Ruller41"/>
        <w:rPr>
          <w:rFonts w:ascii="FrankRuehl" w:hAnsi="FrankRuehl"/>
          <w:sz w:val="28"/>
          <w:rtl/>
        </w:rPr>
      </w:pPr>
      <w:r>
        <w:rPr>
          <w:rtl/>
        </w:rPr>
        <w:t xml:space="preserve">5.       כפי </w:t>
      </w:r>
      <w:proofErr w:type="spellStart"/>
      <w:r>
        <w:rPr>
          <w:rtl/>
        </w:rPr>
        <w:t>שצויין</w:t>
      </w:r>
      <w:proofErr w:type="spellEnd"/>
      <w:r>
        <w:rPr>
          <w:rtl/>
        </w:rPr>
        <w:t xml:space="preserve"> לעיל, המנוחה נכלאה שלא כדין למשך 4 ימים. </w:t>
      </w:r>
    </w:p>
    <w:p w:rsidR="00007DA4" w:rsidRDefault="00007DA4" w:rsidP="00007DA4">
      <w:pPr>
        <w:pStyle w:val="Ruller41"/>
        <w:rPr>
          <w:rFonts w:ascii="FrankRuehl" w:hAnsi="FrankRuehl"/>
          <w:sz w:val="28"/>
          <w:rtl/>
        </w:rPr>
      </w:pPr>
    </w:p>
    <w:p w:rsidR="00007DA4" w:rsidRDefault="00007DA4" w:rsidP="00007DA4">
      <w:pPr>
        <w:pStyle w:val="Ruller41"/>
        <w:rPr>
          <w:sz w:val="22"/>
          <w:rtl/>
        </w:rPr>
      </w:pPr>
      <w:r>
        <w:rPr>
          <w:rFonts w:ascii="FrankRuehl" w:hAnsi="FrankRuehl"/>
          <w:sz w:val="28"/>
          <w:rtl/>
        </w:rPr>
        <w:lastRenderedPageBreak/>
        <w:t>6.</w:t>
      </w:r>
      <w:r>
        <w:rPr>
          <w:rFonts w:ascii="FrankRuehl" w:hAnsi="FrankRuehl"/>
          <w:sz w:val="28"/>
          <w:rtl/>
        </w:rPr>
        <w:tab/>
        <w:t xml:space="preserve">בעניין </w:t>
      </w:r>
      <w:r>
        <w:rPr>
          <w:rFonts w:ascii="Miriam" w:hAnsi="Miriam" w:cs="Miriam"/>
          <w:sz w:val="24"/>
          <w:szCs w:val="24"/>
          <w:rtl/>
        </w:rPr>
        <w:t>פלונים</w:t>
      </w:r>
      <w:r>
        <w:rPr>
          <w:rFonts w:ascii="FrankRuehl" w:hAnsi="FrankRuehl"/>
          <w:sz w:val="28"/>
          <w:rtl/>
        </w:rPr>
        <w:t xml:space="preserve">, נדונו כאמור עניינם של תובעים שלגביהם נקבע במסגרת החלטת החבות שהם נכלאו שלא כדין ועונו על ידי הרש"פ. כן נדון פסק דינו החלקי של בית המשפט המחוזי מיום 28.6.2018 שבמסגרתו נפסק לכל אחד מהתובעים, לרבות למנוחה סך של 422 ₪ לכל יום שבו היה כלוא כאשר יתרת הפיצוי בגין יתר ראשי הנזק יפסקו לאחר שמיעת ראיות בעניינו של כל תובע ותובע בנפרד. סכום הפיצוי בסך 422 ₪ בגין כל יום של כליאת שווא, נפסק בהתאם לשיעור הפיצוי הקבוע בתקנה 8(א) לתקנות סדר הדין הפלילי (פיצויים בשל מעצר או מאסר), </w:t>
      </w:r>
      <w:proofErr w:type="spellStart"/>
      <w:r>
        <w:rPr>
          <w:rFonts w:ascii="FrankRuehl" w:hAnsi="FrankRuehl"/>
          <w:sz w:val="28"/>
          <w:rtl/>
        </w:rPr>
        <w:t>התשמ"ב</w:t>
      </w:r>
      <w:proofErr w:type="spellEnd"/>
      <w:r>
        <w:rPr>
          <w:rFonts w:ascii="FrankRuehl" w:hAnsi="FrankRuehl"/>
          <w:sz w:val="28"/>
          <w:rtl/>
        </w:rPr>
        <w:t xml:space="preserve"> - 1982 (להלן: </w:t>
      </w:r>
      <w:r>
        <w:rPr>
          <w:rFonts w:ascii="Miriam" w:hAnsi="Miriam" w:cs="Miriam"/>
          <w:sz w:val="24"/>
          <w:szCs w:val="24"/>
          <w:rtl/>
        </w:rPr>
        <w:t>תקנות העונשין</w:t>
      </w:r>
      <w:r>
        <w:rPr>
          <w:rFonts w:ascii="FrankRuehl" w:hAnsi="FrankRuehl"/>
          <w:sz w:val="28"/>
          <w:rtl/>
        </w:rPr>
        <w:t xml:space="preserve">). </w:t>
      </w:r>
      <w:r>
        <w:rPr>
          <w:rtl/>
        </w:rPr>
        <w:t xml:space="preserve">התובעים טענו כי בכך סטה בית המשפט המחוזי מההלכה לפיה אין להשתמש בתקנות העונשין לקביעת פיצוי בהליך אזרחי וכי מכל מקום הפיצוי שנפסק לפגיעה בחירותם של התובעים הוא נמוך ומנוגד לפסיקה וכי היה על בית המשפט לפסוק לתובעים בגין כל יום של כליאת שווא לפחות 3,000 ₪ וכן שיש לכלול בפיצוי בגין שלילת החירות גם את הצער, הבושה וחוסר האונים הנלווה לכליאה ולא רק את אבדן ההשתכרות, שזהו הפרמטר היחיד הנלקח בחשבון בעת פסיקת פיצויים לפי תקנות העונשין. הרש"פ טענה מנגד, שעל פי הדין המקומי וממוצע השכר בשטחים, שהוא מקום מושבם של התובעים בעת הכליאה, הפיצוי צריך להיות נמוך בהרבה. כן נטען שאין מקום לפעולה מתמטית של מספר ימי הכליאה והכפלתו בתעריך יומי וכי הפיצוי בגין כליאת שווא הוא פיצוי על נזק לא ממוני שחופף לראש הנזק של כאב וסבל ופיצויים מוגברים וכן הוא כולל פיצוי על הפסד השתכרות. </w:t>
      </w:r>
    </w:p>
    <w:p w:rsidR="00007DA4" w:rsidRDefault="00007DA4" w:rsidP="00007DA4">
      <w:pPr>
        <w:pStyle w:val="Ruller41"/>
        <w:rPr>
          <w:rtl/>
        </w:rPr>
      </w:pPr>
    </w:p>
    <w:p w:rsidR="00007DA4" w:rsidRDefault="00007DA4" w:rsidP="00007DA4">
      <w:pPr>
        <w:pStyle w:val="Ruller41"/>
      </w:pPr>
      <w:r>
        <w:rPr>
          <w:rtl/>
        </w:rPr>
        <w:t>7.</w:t>
      </w:r>
      <w:r>
        <w:rPr>
          <w:rtl/>
        </w:rPr>
        <w:tab/>
        <w:t xml:space="preserve">בית המשפט העליון בעניין </w:t>
      </w:r>
      <w:r>
        <w:rPr>
          <w:rFonts w:ascii="Miriam" w:hAnsi="Miriam" w:cs="Miriam"/>
          <w:sz w:val="24"/>
          <w:szCs w:val="24"/>
          <w:rtl/>
        </w:rPr>
        <w:t>פלונים</w:t>
      </w:r>
      <w:r>
        <w:rPr>
          <w:rtl/>
        </w:rPr>
        <w:t xml:space="preserve"> דחה את טענת הרש"פ לפיה ההסדר הקבוע בתקנות העונשין הוא בבחינת הסדר ממצה. עם זאת ציין כי אין להתעלם מכך שהסכום שנקבע על פי תקנות העונשין משקף התחשבות בשכר הממוצע במשק וכי בעת חישוב  אבדן ההשתכרות והפיצוי בגין כאב וסבל בעת מתן פסק הדין הסופי יהיה על בית המשפט להתחשב בסכומים שנפסקו במסגרת פסק הדין החלקי (עניין </w:t>
      </w:r>
      <w:r>
        <w:rPr>
          <w:rFonts w:ascii="Miriam" w:hAnsi="Miriam" w:cs="Miriam"/>
          <w:sz w:val="24"/>
          <w:szCs w:val="24"/>
          <w:rtl/>
        </w:rPr>
        <w:t>פלונים</w:t>
      </w:r>
      <w:r>
        <w:rPr>
          <w:rtl/>
        </w:rPr>
        <w:t xml:space="preserve">, פסקה 24). בכל הנוגע לטענות התובעים, ציין בית המשפט כי במהלך הדיון בערעור על פסק הדין החלקי, הובהר לתובעים שהסכום שנפסק בגין כליאת השווא במסגרת פסק הדין החלקי הוא בבחינת חישוב  מתמטי של הנזק שנגרם להם בראש הנזק של אבדן החירות בלבד - לצורך פסק הדין החלקי - וכי בשלב השני של קביעת הנזק יעמדו להם טענותיהם </w:t>
      </w:r>
      <w:r>
        <w:rPr>
          <w:rtl/>
        </w:rPr>
        <w:lastRenderedPageBreak/>
        <w:t>כי יש להגדיל את שיעור הפיצוי בגין הנזק הלא ממוני שנגרם להם בעקבות כליאתם שכן בהתאם לפסיקה מסכום הפיצוי על פי הוראת תקנה 8 לתקנות העונשין "</w:t>
      </w:r>
      <w:r>
        <w:rPr>
          <w:rFonts w:ascii="Miriam" w:hAnsi="Miriam" w:cs="Miriam"/>
          <w:sz w:val="24"/>
          <w:szCs w:val="24"/>
          <w:rtl/>
        </w:rPr>
        <w:t>נעדר '</w:t>
      </w:r>
      <w:proofErr w:type="spellStart"/>
      <w:r>
        <w:rPr>
          <w:rFonts w:ascii="Miriam" w:hAnsi="Miriam" w:cs="Miriam"/>
          <w:sz w:val="24"/>
          <w:szCs w:val="24"/>
          <w:rtl/>
        </w:rPr>
        <w:t>המימד</w:t>
      </w:r>
      <w:proofErr w:type="spellEnd"/>
      <w:r>
        <w:rPr>
          <w:rFonts w:ascii="Miriam" w:hAnsi="Miriam" w:cs="Miriam"/>
          <w:sz w:val="24"/>
          <w:szCs w:val="24"/>
          <w:rtl/>
        </w:rPr>
        <w:t xml:space="preserve"> של הצער והבושה וחוסר האונים הנלווים למאסר או מעצר'. בעקבות הבהרה זאת, חזרו בהם המשיבים מערעורם</w:t>
      </w:r>
      <w:r>
        <w:rPr>
          <w:rtl/>
        </w:rPr>
        <w:t>" (שם, סוף פסקה 23). בהמשך לכך סוכמה ההכרעה בעניין הפיצוי שניתן עבור ימי הכליאה כך "</w:t>
      </w:r>
      <w:r>
        <w:rPr>
          <w:rFonts w:ascii="Miriam" w:hAnsi="Miriam" w:cs="Miriam"/>
          <w:sz w:val="24"/>
          <w:szCs w:val="24"/>
          <w:rtl/>
        </w:rPr>
        <w:t>ערעור המשיבים (ע"א 6966/18) נדחה בהסכמתם, ומובהר כי הסכום שנפסק לזכותם הוא בבחינת חישוב של הנזק שנגרם בראש הנזק של אבדן חירות בלבד, וכי בשלב השני של קביעת הנזק תעמודנה להם טענותיהם כי יש להגדיל את הפיצוי בגין נזק לא ממוני שנגרם בעקבות כליאתם</w:t>
      </w:r>
      <w:r>
        <w:rPr>
          <w:rtl/>
        </w:rPr>
        <w:t xml:space="preserve">" (שם, פסקה 28). </w:t>
      </w:r>
    </w:p>
    <w:p w:rsidR="00007DA4" w:rsidRDefault="00007DA4" w:rsidP="00007DA4">
      <w:pPr>
        <w:pStyle w:val="Ruller41"/>
        <w:rPr>
          <w:rtl/>
        </w:rPr>
      </w:pPr>
    </w:p>
    <w:p w:rsidR="00007DA4" w:rsidRDefault="00007DA4" w:rsidP="00007DA4">
      <w:pPr>
        <w:pStyle w:val="Ruller41"/>
        <w:rPr>
          <w:rtl/>
        </w:rPr>
      </w:pPr>
      <w:r>
        <w:rPr>
          <w:rtl/>
        </w:rPr>
        <w:t>8.</w:t>
      </w:r>
      <w:r>
        <w:rPr>
          <w:rtl/>
        </w:rPr>
        <w:tab/>
        <w:t xml:space="preserve">הצדדים בקשו לתמוך את טענותיהם, כל אחד בדרכו, בדברים שנאמרו בעניין </w:t>
      </w:r>
      <w:r>
        <w:rPr>
          <w:rFonts w:ascii="Miriam" w:hAnsi="Miriam" w:cs="Miriam"/>
          <w:sz w:val="24"/>
          <w:szCs w:val="24"/>
          <w:rtl/>
        </w:rPr>
        <w:t>פלונים</w:t>
      </w:r>
      <w:r>
        <w:rPr>
          <w:rtl/>
        </w:rPr>
        <w:t xml:space="preserve"> על מנת לשכנע מדוע לשיטתו הפיצוי שיש לפסוק לתובעת, גבוה או נמוך מזה שנפסק בעניין </w:t>
      </w:r>
      <w:r>
        <w:rPr>
          <w:rFonts w:ascii="Miriam" w:hAnsi="Miriam" w:cs="Miriam"/>
          <w:sz w:val="24"/>
          <w:szCs w:val="24"/>
          <w:rtl/>
        </w:rPr>
        <w:t>פלונים</w:t>
      </w:r>
      <w:r>
        <w:rPr>
          <w:rtl/>
        </w:rPr>
        <w:t xml:space="preserve">. כך, התובעת טוענת כי בעניין </w:t>
      </w:r>
      <w:r>
        <w:rPr>
          <w:rFonts w:ascii="Miriam" w:hAnsi="Miriam" w:cs="Miriam"/>
          <w:sz w:val="24"/>
          <w:szCs w:val="24"/>
          <w:rtl/>
        </w:rPr>
        <w:t>פלונים</w:t>
      </w:r>
      <w:r>
        <w:rPr>
          <w:rtl/>
        </w:rPr>
        <w:t xml:space="preserve"> הובהר שהסכום שנפסק בהתאם לתקנות העונשין הוא בבחינת "</w:t>
      </w:r>
      <w:r>
        <w:rPr>
          <w:rFonts w:ascii="Miriam" w:hAnsi="Miriam" w:cs="Miriam"/>
          <w:sz w:val="24"/>
          <w:szCs w:val="24"/>
          <w:rtl/>
        </w:rPr>
        <w:t>חישוב של הנזק שנגרם להם בראש הנזק של אבדן חירות בלבד</w:t>
      </w:r>
      <w:r>
        <w:rPr>
          <w:rtl/>
        </w:rPr>
        <w:t>" וכי בשלב השני של קביעת הנזק הכולל, תעמודנה להם טענותיהם כי "</w:t>
      </w:r>
      <w:r>
        <w:rPr>
          <w:rFonts w:ascii="Miriam" w:hAnsi="Miriam" w:cs="Miriam"/>
          <w:b/>
          <w:bCs/>
          <w:sz w:val="24"/>
          <w:szCs w:val="24"/>
          <w:u w:val="single"/>
          <w:rtl/>
        </w:rPr>
        <w:t>יש להגדיל את הפיצוי בגין נזק לא ממוני שנגרם להם בעקבות כליאתם</w:t>
      </w:r>
      <w:r>
        <w:rPr>
          <w:rtl/>
        </w:rPr>
        <w:t xml:space="preserve">" [ההדגשה בסעיף 15 לסיכומי התובעת]. מכאן מסיקה התובעת כי בנוסף לפיצוי שהוענק לה במסגרת פסק הדין החלקי בגין אבדן החירות בסך 422 ₪ בהתאם לתקנות העונשין לכל יום כליאה, יש להעניק לה פיצוי נוסף בגין הכאב הסבל והבושה שנגרמו לו בעת כליאת השווא כך שהיא תפוצה על כל יום כליאה בסכום נוסף בסך 4,580 ₪ ובסך </w:t>
      </w:r>
      <w:proofErr w:type="spellStart"/>
      <w:r>
        <w:rPr>
          <w:rtl/>
        </w:rPr>
        <w:t>הכל</w:t>
      </w:r>
      <w:proofErr w:type="spellEnd"/>
      <w:r>
        <w:rPr>
          <w:rtl/>
        </w:rPr>
        <w:t xml:space="preserve"> בסכום נוסף של 18,320 ₪. (יוער כי בסיכומי התובעת התבקשה תוספת של </w:t>
      </w:r>
      <w:proofErr w:type="spellStart"/>
      <w:r>
        <w:rPr>
          <w:rtl/>
        </w:rPr>
        <w:t>של</w:t>
      </w:r>
      <w:proofErr w:type="spellEnd"/>
      <w:r>
        <w:rPr>
          <w:rtl/>
        </w:rPr>
        <w:t xml:space="preserve"> 22,900 ₪ ואולם בדיון שהתקיים ביום 6.2.2023 אשרה התובעת שמדובר בטעות ותיקנה את סיכומיה כך שהיא מבקשת פיצוי עבור 4 ימי כליאה ולא עבור 5 ימי כליאה). </w:t>
      </w:r>
    </w:p>
    <w:p w:rsidR="00007DA4" w:rsidRDefault="00007DA4" w:rsidP="00007DA4">
      <w:pPr>
        <w:pStyle w:val="Ruller41"/>
        <w:rPr>
          <w:rtl/>
        </w:rPr>
      </w:pPr>
    </w:p>
    <w:p w:rsidR="00007DA4" w:rsidRDefault="00007DA4" w:rsidP="00007DA4">
      <w:pPr>
        <w:pStyle w:val="Ruller41"/>
        <w:rPr>
          <w:rtl/>
        </w:rPr>
      </w:pPr>
      <w:r>
        <w:rPr>
          <w:rtl/>
        </w:rPr>
        <w:t>9.</w:t>
      </w:r>
      <w:r>
        <w:rPr>
          <w:rtl/>
        </w:rPr>
        <w:tab/>
        <w:t xml:space="preserve">הרש"פ טוענת מנגד, כי יש לפרש את פסק דינו של בית המשפט העליון בעניין </w:t>
      </w:r>
      <w:r>
        <w:rPr>
          <w:rFonts w:ascii="Miriam" w:hAnsi="Miriam" w:cs="Miriam"/>
          <w:sz w:val="24"/>
          <w:szCs w:val="24"/>
          <w:rtl/>
        </w:rPr>
        <w:t>פלונים</w:t>
      </w:r>
      <w:r>
        <w:rPr>
          <w:rtl/>
        </w:rPr>
        <w:t xml:space="preserve"> בקשר לפיצויים בגין כליאת השווא, כפסק דין "על חשבון" וכי בית המשפט העליון לא הכיר בכליאת שווא כראש נזק נפרד אלא קבע שבחישוב אבדן ההשתכרות והפיצוי בגין כאב וסבל יהיה על בית המשפט להתחשב בסכומים שנפסקו בפסק הדין החלקי.  לטענת הרש"פ הנזק בגין כליאת השווא הוא נזק חופף וחלק מן הפיצוי בגין </w:t>
      </w:r>
      <w:r>
        <w:rPr>
          <w:rtl/>
        </w:rPr>
        <w:lastRenderedPageBreak/>
        <w:t xml:space="preserve">כאב וסבל ואין לתת פיצוי נפרד בגין כך וכי בכל מקרה אין ליצור אמת מידה אחידה לפיצוי הנגזר ממכפלת ימי הכליאה וכי יש להתחשב בנסיבות הספציפיות של המעצר בכל מקרה ומקרה. הרש"פ מציינת כי אין להשוות את ענייננו למקרים שאליהם הפנה התובע ואשר בהם נפסק פיצוי רק בגין הכליאה ולא נכללו ראשי נזק נוספים כמו בענייננו. </w:t>
      </w:r>
    </w:p>
    <w:p w:rsidR="00007DA4" w:rsidRDefault="00007DA4" w:rsidP="00007DA4">
      <w:pPr>
        <w:pStyle w:val="Ruller41"/>
        <w:rPr>
          <w:rtl/>
        </w:rPr>
      </w:pPr>
    </w:p>
    <w:p w:rsidR="00007DA4" w:rsidRDefault="00007DA4" w:rsidP="00007DA4">
      <w:pPr>
        <w:pStyle w:val="Ruller41"/>
        <w:rPr>
          <w:rFonts w:ascii="FrankRuehl" w:hAnsi="FrankRuehl"/>
          <w:color w:val="000000" w:themeColor="text1"/>
          <w:sz w:val="28"/>
          <w:rtl/>
        </w:rPr>
      </w:pPr>
      <w:r>
        <w:rPr>
          <w:rtl/>
        </w:rPr>
        <w:t>10.</w:t>
      </w:r>
      <w:r>
        <w:rPr>
          <w:rtl/>
        </w:rPr>
        <w:tab/>
        <w:t xml:space="preserve">כפי שציינתי בעניין </w:t>
      </w:r>
      <w:r>
        <w:rPr>
          <w:rFonts w:ascii="Miriam" w:hAnsi="Miriam" w:cs="Miriam"/>
          <w:sz w:val="24"/>
          <w:szCs w:val="24"/>
          <w:rtl/>
        </w:rPr>
        <w:t>פלוני 1</w:t>
      </w:r>
      <w:r>
        <w:rPr>
          <w:rtl/>
        </w:rPr>
        <w:t xml:space="preserve"> </w:t>
      </w:r>
      <w:r>
        <w:rPr>
          <w:rFonts w:ascii="FrankRuehl" w:hAnsi="FrankRuehl"/>
          <w:sz w:val="28"/>
          <w:rtl/>
        </w:rPr>
        <w:t xml:space="preserve">סקירת הפסיקה בנוגע </w:t>
      </w:r>
      <w:r>
        <w:rPr>
          <w:rFonts w:ascii="FrankRuehl" w:hAnsi="FrankRuehl"/>
          <w:color w:val="000000" w:themeColor="text1"/>
          <w:sz w:val="28"/>
          <w:rtl/>
        </w:rPr>
        <w:t>לכליאת שווא מלמדת כי הסכומים שנפסקים בגין כליאת שווא נעים בין 1,000 ₪ ל- 10,000 ₪ כאשר בכליאת שווא לתקופות ארוכות יותר, הסכום שנפסק עבור כל יום נמוך יותר</w:t>
      </w:r>
      <w:r>
        <w:rPr>
          <w:color w:val="000000" w:themeColor="text1"/>
          <w:rtl/>
        </w:rPr>
        <w:t xml:space="preserve"> (</w:t>
      </w:r>
      <w:hyperlink r:id="rId8" w:history="1">
        <w:r>
          <w:rPr>
            <w:rStyle w:val="Hyperlink"/>
            <w:color w:val="000000" w:themeColor="text1"/>
            <w:rtl/>
          </w:rPr>
          <w:t>רע"א 5932/08</w:t>
        </w:r>
      </w:hyperlink>
      <w:r>
        <w:rPr>
          <w:color w:val="000000" w:themeColor="text1"/>
          <w:rtl/>
        </w:rPr>
        <w:t xml:space="preserve"> </w:t>
      </w:r>
      <w:r>
        <w:rPr>
          <w:rFonts w:ascii="Miriam" w:hAnsi="Miriam" w:cs="Miriam"/>
          <w:color w:val="000000" w:themeColor="text1"/>
          <w:sz w:val="24"/>
          <w:szCs w:val="24"/>
          <w:rtl/>
        </w:rPr>
        <w:t>עמי שירי נ' מדינת ישראל - שירות בתי הסוהר</w:t>
      </w:r>
      <w:r>
        <w:rPr>
          <w:color w:val="000000" w:themeColor="text1"/>
          <w:sz w:val="24"/>
          <w:szCs w:val="24"/>
          <w:rtl/>
        </w:rPr>
        <w:t xml:space="preserve"> </w:t>
      </w:r>
      <w:r>
        <w:rPr>
          <w:color w:val="000000" w:themeColor="text1"/>
          <w:rtl/>
        </w:rPr>
        <w:t xml:space="preserve"> (25.8.2010) </w:t>
      </w:r>
      <w:r>
        <w:rPr>
          <w:rFonts w:ascii="FrankRuehl" w:hAnsi="FrankRuehl"/>
          <w:color w:val="000000" w:themeColor="text1"/>
          <w:sz w:val="28"/>
          <w:rtl/>
        </w:rPr>
        <w:t>שם נפסקו 3,000 ₪ לכל יום כליאה למשך 29 ימים</w:t>
      </w:r>
      <w:r>
        <w:rPr>
          <w:color w:val="000000" w:themeColor="text1"/>
          <w:rtl/>
        </w:rPr>
        <w:t>;</w:t>
      </w:r>
      <w:r>
        <w:rPr>
          <w:rFonts w:hint="cs"/>
          <w:color w:val="000000" w:themeColor="text1"/>
        </w:rPr>
        <w:t xml:space="preserve"> </w:t>
      </w:r>
      <w:hyperlink r:id="rId9" w:history="1">
        <w:r>
          <w:rPr>
            <w:rStyle w:val="Hyperlink"/>
            <w:color w:val="000000" w:themeColor="text1"/>
            <w:rtl/>
          </w:rPr>
          <w:t>רע"א 4672/14</w:t>
        </w:r>
      </w:hyperlink>
      <w:r>
        <w:rPr>
          <w:color w:val="000000" w:themeColor="text1"/>
          <w:rtl/>
        </w:rPr>
        <w:t xml:space="preserve"> </w:t>
      </w:r>
      <w:r>
        <w:rPr>
          <w:rFonts w:ascii="Miriam" w:hAnsi="Miriam" w:cs="Miriam"/>
          <w:color w:val="000000" w:themeColor="text1"/>
          <w:sz w:val="24"/>
          <w:szCs w:val="24"/>
          <w:rtl/>
        </w:rPr>
        <w:t>יהודה גליק נ' מדינת ישראל</w:t>
      </w:r>
      <w:r>
        <w:rPr>
          <w:color w:val="000000" w:themeColor="text1"/>
          <w:rtl/>
        </w:rPr>
        <w:t xml:space="preserve">, </w:t>
      </w:r>
      <w:r>
        <w:rPr>
          <w:rFonts w:ascii="FrankRuehl" w:hAnsi="FrankRuehl"/>
          <w:color w:val="000000" w:themeColor="text1"/>
          <w:sz w:val="28"/>
          <w:rtl/>
        </w:rPr>
        <w:t xml:space="preserve">פסקה </w:t>
      </w:r>
      <w:proofErr w:type="spellStart"/>
      <w:r>
        <w:rPr>
          <w:rFonts w:ascii="FrankRuehl" w:hAnsi="FrankRuehl"/>
          <w:color w:val="000000" w:themeColor="text1"/>
          <w:sz w:val="28"/>
          <w:rtl/>
        </w:rPr>
        <w:t>יג</w:t>
      </w:r>
      <w:proofErr w:type="spellEnd"/>
      <w:r>
        <w:rPr>
          <w:rFonts w:ascii="FrankRuehl" w:hAnsi="FrankRuehl"/>
          <w:color w:val="000000" w:themeColor="text1"/>
          <w:sz w:val="28"/>
          <w:rtl/>
        </w:rPr>
        <w:t xml:space="preserve"> והאסמכתאות שם (6.1.2015)). במקרה דנן, ובניגוד לעניין </w:t>
      </w:r>
      <w:r>
        <w:rPr>
          <w:rFonts w:ascii="Miriam" w:hAnsi="Miriam" w:cs="Miriam"/>
          <w:color w:val="000000" w:themeColor="text1"/>
          <w:sz w:val="24"/>
          <w:szCs w:val="24"/>
          <w:rtl/>
        </w:rPr>
        <w:t>פלוני 1</w:t>
      </w:r>
      <w:r>
        <w:rPr>
          <w:rFonts w:ascii="FrankRuehl" w:hAnsi="FrankRuehl"/>
          <w:color w:val="000000" w:themeColor="text1"/>
          <w:sz w:val="28"/>
          <w:rtl/>
        </w:rPr>
        <w:t xml:space="preserve">, מדובר בכליאה לתקופה קצרה בת ארבעה ימים בלבד ולכן מקובלת עליי עמדת התובעת לפיה יש לפסוק עבור כל יום כליאה סכום גבוה מזה שנפסק בעניין </w:t>
      </w:r>
      <w:r>
        <w:rPr>
          <w:rFonts w:ascii="Miriam" w:hAnsi="Miriam" w:cs="Miriam"/>
          <w:color w:val="000000" w:themeColor="text1"/>
          <w:sz w:val="24"/>
          <w:szCs w:val="24"/>
          <w:rtl/>
        </w:rPr>
        <w:t>פלוני 1</w:t>
      </w:r>
      <w:r>
        <w:rPr>
          <w:rFonts w:ascii="FrankRuehl" w:hAnsi="FrankRuehl"/>
          <w:color w:val="000000" w:themeColor="text1"/>
          <w:sz w:val="28"/>
          <w:rtl/>
        </w:rPr>
        <w:t xml:space="preserve">.  הסכום שהתובעת עותרת לו, בסך 5,000 ₪ בגין כל יום כליאה אינו חורג מן הסכום שיש לפסוק בנסיבות העניין.   </w:t>
      </w:r>
    </w:p>
    <w:p w:rsidR="00007DA4" w:rsidRDefault="00007DA4" w:rsidP="00007DA4">
      <w:pPr>
        <w:pStyle w:val="Ruller41"/>
        <w:rPr>
          <w:sz w:val="10"/>
          <w:szCs w:val="14"/>
          <w:rtl/>
        </w:rPr>
      </w:pPr>
    </w:p>
    <w:p w:rsidR="00007DA4" w:rsidRDefault="00007DA4" w:rsidP="00007DA4">
      <w:pPr>
        <w:pStyle w:val="Ruller4"/>
        <w:numPr>
          <w:ilvl w:val="0"/>
          <w:numId w:val="0"/>
        </w:numPr>
        <w:rPr>
          <w:b/>
          <w:bCs/>
          <w:color w:val="000000" w:themeColor="text1"/>
          <w:u w:val="single"/>
        </w:rPr>
      </w:pPr>
      <w:r>
        <w:rPr>
          <w:color w:val="000000" w:themeColor="text1"/>
          <w:rtl/>
        </w:rPr>
        <w:tab/>
        <w:t>נוכח האמור אני פוסקת לתובעת בגין אבדן החירות בארבעת ימי הכליאה סכום נוסף על הסכום שנפסק במסגרת פסק הדין החלקי,  בסך</w:t>
      </w:r>
      <w:r>
        <w:rPr>
          <w:b/>
          <w:bCs/>
          <w:color w:val="000000" w:themeColor="text1"/>
          <w:u w:val="single"/>
          <w:rtl/>
        </w:rPr>
        <w:t xml:space="preserve"> 18,320 ₪ נכון ליום פסק הדין. </w:t>
      </w:r>
    </w:p>
    <w:p w:rsidR="00007DA4" w:rsidRDefault="00007DA4" w:rsidP="00007DA4">
      <w:pPr>
        <w:pStyle w:val="Ruller41"/>
        <w:rPr>
          <w:rtl/>
        </w:rPr>
      </w:pPr>
    </w:p>
    <w:p w:rsidR="00007DA4" w:rsidRDefault="00007DA4" w:rsidP="00007DA4">
      <w:pPr>
        <w:pStyle w:val="Ruller41"/>
        <w:rPr>
          <w:rtl/>
        </w:rPr>
      </w:pPr>
      <w:r>
        <w:rPr>
          <w:rtl/>
        </w:rPr>
        <w:t>11.</w:t>
      </w:r>
      <w:r>
        <w:rPr>
          <w:rtl/>
        </w:rPr>
        <w:tab/>
        <w:t xml:space="preserve">הפיצוי שלעיל נפסק אך ורק בגין אבדן החירות. בענייננו אין המדובר רק בכליאת שווא שכאמור גורמת בעיקר לפגיעה בחירות, לבושה ולתחושת חוסר אונים. אלא מדובר בכליאת שווא שבמהלכה יש להניח בסבירות גבוהה מאוד שהמנוחה  הייתה נתונה בפחד גדול מפני הבאות וזאת אף אם לא עלה בידי התובעת להוכיח שהמנוחה עונתה במהלך ימי הכליאה עד לרציחתה. ההמצאות בפחד מפני המוות, מצדיק לפסוק סכום גבוה מן הסכומים שנפסקים בגין אבדן החרות במעצרי שווא.  </w:t>
      </w:r>
    </w:p>
    <w:p w:rsidR="00007DA4" w:rsidRDefault="00007DA4" w:rsidP="00007DA4">
      <w:pPr>
        <w:pStyle w:val="Ruller41"/>
        <w:rPr>
          <w:rtl/>
        </w:rPr>
      </w:pPr>
    </w:p>
    <w:p w:rsidR="00007DA4" w:rsidRDefault="00007DA4" w:rsidP="00007DA4">
      <w:pPr>
        <w:pStyle w:val="Ruller41"/>
        <w:rPr>
          <w:rtl/>
        </w:rPr>
      </w:pPr>
      <w:r>
        <w:rPr>
          <w:rtl/>
        </w:rPr>
        <w:t>12.</w:t>
      </w:r>
      <w:r>
        <w:rPr>
          <w:rtl/>
        </w:rPr>
        <w:tab/>
        <w:t xml:space="preserve">עם זאת, נוכח העובדה שבענייננו, הנזק שנגרם לתובעת כתוצאה ממעצר השווא ואבדן החירות שלוב באופן שאינו ניתן להפרדה בנזק שנגרם לתובעת בגין הפחד עד רציחתה, באופן שאינו מאפשר להבדיל בין הנזק שנגרם עקב אבדן החירות לבין יתר </w:t>
      </w:r>
      <w:r>
        <w:rPr>
          <w:rtl/>
        </w:rPr>
        <w:lastRenderedPageBreak/>
        <w:t xml:space="preserve">הנזקים, הפיצוי הנוסף מעבר לפיצוי בגין אבדן החירות, יינתן במסגרת הפיצוי בגין הנזק הלא ממוני. כפי שיפורט להלן.  </w:t>
      </w:r>
    </w:p>
    <w:p w:rsidR="00007DA4" w:rsidRDefault="00007DA4" w:rsidP="00007DA4">
      <w:pPr>
        <w:pStyle w:val="Ruller41"/>
        <w:rPr>
          <w:rtl/>
        </w:rPr>
      </w:pPr>
    </w:p>
    <w:p w:rsidR="00007DA4" w:rsidRDefault="00007DA4" w:rsidP="00007DA4">
      <w:pPr>
        <w:pStyle w:val="Ruller41"/>
        <w:rPr>
          <w:b/>
          <w:bCs/>
          <w:u w:val="single"/>
          <w:rtl/>
        </w:rPr>
      </w:pPr>
      <w:r>
        <w:rPr>
          <w:b/>
          <w:bCs/>
          <w:u w:val="single"/>
          <w:rtl/>
        </w:rPr>
        <w:t>הנזק הלא ממוני</w:t>
      </w:r>
    </w:p>
    <w:p w:rsidR="00007DA4" w:rsidRDefault="00007DA4" w:rsidP="00007DA4">
      <w:pPr>
        <w:pStyle w:val="Ruller41"/>
        <w:rPr>
          <w:b/>
          <w:bCs/>
          <w:u w:val="single"/>
          <w:rtl/>
        </w:rPr>
      </w:pPr>
    </w:p>
    <w:p w:rsidR="00007DA4" w:rsidRDefault="00007DA4" w:rsidP="00007DA4">
      <w:pPr>
        <w:pStyle w:val="Ruller41"/>
        <w:rPr>
          <w:rFonts w:cs="David"/>
          <w:color w:val="000000"/>
          <w:sz w:val="24"/>
          <w:szCs w:val="24"/>
          <w:rtl/>
        </w:rPr>
      </w:pPr>
      <w:r>
        <w:rPr>
          <w:rtl/>
        </w:rPr>
        <w:t xml:space="preserve">13. </w:t>
      </w:r>
      <w:r>
        <w:rPr>
          <w:rtl/>
        </w:rPr>
        <w:tab/>
        <w:t xml:space="preserve">מקובל להתייחס אל ראשי הנזק של כאב וסבל וקיצור תוחלת החיים כאל מקשה אחד </w:t>
      </w:r>
      <w:r>
        <w:rPr>
          <w:rFonts w:cs="David"/>
          <w:color w:val="000000"/>
          <w:sz w:val="24"/>
          <w:szCs w:val="24"/>
          <w:rtl/>
        </w:rPr>
        <w:t>(</w:t>
      </w:r>
      <w:r>
        <w:rPr>
          <w:rFonts w:ascii="FrankRuehl" w:hAnsi="FrankRuehl"/>
          <w:color w:val="000000"/>
          <w:sz w:val="28"/>
          <w:rtl/>
        </w:rPr>
        <w:t xml:space="preserve">ראו, למשל, </w:t>
      </w:r>
      <w:hyperlink r:id="rId10" w:history="1">
        <w:r>
          <w:rPr>
            <w:rStyle w:val="Hyperlink"/>
            <w:rFonts w:ascii="FrankRuehl" w:hAnsi="FrankRuehl"/>
            <w:sz w:val="28"/>
            <w:rtl/>
          </w:rPr>
          <w:t>ע"א 8488/08</w:t>
        </w:r>
      </w:hyperlink>
      <w:r>
        <w:rPr>
          <w:rFonts w:cs="David"/>
          <w:sz w:val="24"/>
          <w:szCs w:val="24"/>
          <w:rtl/>
        </w:rPr>
        <w:t xml:space="preserve"> </w:t>
      </w:r>
      <w:r>
        <w:rPr>
          <w:rFonts w:cs="Miriam"/>
          <w:sz w:val="24"/>
          <w:szCs w:val="24"/>
          <w:rtl/>
        </w:rPr>
        <w:t>עזב</w:t>
      </w:r>
      <w:r>
        <w:rPr>
          <w:rFonts w:cs="Miriam"/>
          <w:color w:val="000000"/>
          <w:sz w:val="24"/>
          <w:szCs w:val="24"/>
          <w:rtl/>
        </w:rPr>
        <w:t xml:space="preserve">ון המנוחה </w:t>
      </w:r>
      <w:proofErr w:type="spellStart"/>
      <w:r>
        <w:rPr>
          <w:rFonts w:cs="Miriam"/>
          <w:color w:val="000000"/>
          <w:sz w:val="24"/>
          <w:szCs w:val="24"/>
          <w:rtl/>
        </w:rPr>
        <w:t>רוננה</w:t>
      </w:r>
      <w:proofErr w:type="spellEnd"/>
      <w:r>
        <w:rPr>
          <w:rFonts w:cs="Miriam"/>
          <w:color w:val="000000"/>
          <w:sz w:val="24"/>
          <w:szCs w:val="24"/>
          <w:rtl/>
        </w:rPr>
        <w:t xml:space="preserve"> </w:t>
      </w:r>
      <w:proofErr w:type="spellStart"/>
      <w:r>
        <w:rPr>
          <w:rFonts w:cs="Miriam"/>
          <w:color w:val="000000"/>
          <w:sz w:val="24"/>
          <w:szCs w:val="24"/>
          <w:rtl/>
        </w:rPr>
        <w:t>סושרד</w:t>
      </w:r>
      <w:proofErr w:type="spellEnd"/>
      <w:r>
        <w:rPr>
          <w:rFonts w:cs="Miriam"/>
          <w:color w:val="000000"/>
          <w:sz w:val="24"/>
          <w:szCs w:val="24"/>
          <w:rtl/>
        </w:rPr>
        <w:t xml:space="preserve"> ז"ל ואח' נ' מדינת ישראל </w:t>
      </w:r>
      <w:r>
        <w:rPr>
          <w:rFonts w:cs="David"/>
          <w:color w:val="000000"/>
          <w:sz w:val="24"/>
          <w:szCs w:val="24"/>
          <w:rtl/>
        </w:rPr>
        <w:t xml:space="preserve">(5.6.2012 ), </w:t>
      </w:r>
      <w:r>
        <w:rPr>
          <w:rFonts w:ascii="FrankRuehl" w:hAnsi="FrankRuehl"/>
          <w:color w:val="000000"/>
          <w:sz w:val="28"/>
          <w:rtl/>
        </w:rPr>
        <w:t xml:space="preserve">פסקה 23 לפסק דינה של כב' המשנה לנשיאה (כתוארה אז) </w:t>
      </w:r>
      <w:r>
        <w:rPr>
          <w:rFonts w:ascii="Miriam" w:hAnsi="Miriam" w:cs="Miriam"/>
          <w:color w:val="000000"/>
          <w:sz w:val="24"/>
          <w:szCs w:val="24"/>
          <w:rtl/>
        </w:rPr>
        <w:t>מ' נאור</w:t>
      </w:r>
      <w:r>
        <w:rPr>
          <w:rFonts w:ascii="FrankRuehl" w:hAnsi="FrankRuehl"/>
          <w:color w:val="000000"/>
          <w:sz w:val="28"/>
          <w:rtl/>
        </w:rPr>
        <w:t>, וכן פסקה 2 לפסק דינו של כב' השו</w:t>
      </w:r>
      <w:r>
        <w:rPr>
          <w:rFonts w:cs="David"/>
          <w:color w:val="000000"/>
          <w:sz w:val="24"/>
          <w:szCs w:val="24"/>
          <w:rtl/>
        </w:rPr>
        <w:t xml:space="preserve">פט </w:t>
      </w:r>
      <w:r>
        <w:rPr>
          <w:rFonts w:ascii="Miriam" w:hAnsi="Miriam" w:cs="Miriam"/>
          <w:color w:val="000000"/>
          <w:sz w:val="24"/>
          <w:szCs w:val="24"/>
          <w:rtl/>
        </w:rPr>
        <w:t>י' עמית</w:t>
      </w:r>
      <w:r>
        <w:rPr>
          <w:rFonts w:cs="David"/>
          <w:color w:val="000000"/>
          <w:sz w:val="24"/>
          <w:szCs w:val="24"/>
          <w:rtl/>
        </w:rPr>
        <w:t xml:space="preserve">).   </w:t>
      </w:r>
    </w:p>
    <w:p w:rsidR="00007DA4" w:rsidRDefault="00007DA4" w:rsidP="00007DA4">
      <w:pPr>
        <w:pStyle w:val="Ruller41"/>
        <w:rPr>
          <w:rFonts w:cs="David"/>
          <w:color w:val="000000"/>
          <w:sz w:val="24"/>
          <w:szCs w:val="24"/>
          <w:rtl/>
        </w:rPr>
      </w:pPr>
    </w:p>
    <w:p w:rsidR="00007DA4" w:rsidRDefault="00007DA4" w:rsidP="00007DA4">
      <w:pPr>
        <w:pStyle w:val="Ruller41"/>
        <w:rPr>
          <w:rFonts w:ascii="FrankRuehl" w:hAnsi="FrankRuehl"/>
          <w:b/>
          <w:bCs/>
          <w:sz w:val="28"/>
          <w:u w:val="single"/>
          <w:rtl/>
        </w:rPr>
      </w:pPr>
      <w:r>
        <w:rPr>
          <w:rFonts w:cs="David"/>
          <w:color w:val="000000"/>
          <w:sz w:val="24"/>
          <w:szCs w:val="24"/>
          <w:rtl/>
        </w:rPr>
        <w:t>14.</w:t>
      </w:r>
      <w:r>
        <w:rPr>
          <w:rFonts w:cs="David"/>
          <w:color w:val="000000"/>
          <w:sz w:val="24"/>
          <w:szCs w:val="24"/>
          <w:rtl/>
        </w:rPr>
        <w:tab/>
      </w:r>
      <w:r>
        <w:rPr>
          <w:rFonts w:ascii="FrankRuehl" w:hAnsi="FrankRuehl"/>
          <w:color w:val="000000"/>
          <w:sz w:val="28"/>
          <w:rtl/>
        </w:rPr>
        <w:t xml:space="preserve">בפסיקת גובה הפיצוי על בית המשפט להתחשב בגילו של המנוח ובקיצור תוחלת חייו,  בסבל שסבל עובר למותו ובריבית מיום הפטירה. בהביאי בחשבון כל אלה, ובשים לב לגילה הצעיר של המנוחה בעת רציחתה, כבת 20, לפחד שחוותה לפני רציחתה, ולזמן הרב שחלף מאז (למעלה מעשרים שנה), אני פוסקת </w:t>
      </w:r>
      <w:r>
        <w:rPr>
          <w:rFonts w:ascii="FrankRuehl" w:hAnsi="FrankRuehl"/>
          <w:sz w:val="28"/>
          <w:rtl/>
        </w:rPr>
        <w:t xml:space="preserve">למנוחה פיצוי בגין הנזק הלא ממוני (בנוסף לפיצוי בגין אבדן החרות) </w:t>
      </w:r>
      <w:r>
        <w:rPr>
          <w:rFonts w:ascii="FrankRuehl" w:hAnsi="FrankRuehl"/>
          <w:b/>
          <w:bCs/>
          <w:sz w:val="28"/>
          <w:u w:val="single"/>
          <w:rtl/>
        </w:rPr>
        <w:t xml:space="preserve">בסך 800,000 ₪ נכון ליום מתן פסק הדין. </w:t>
      </w:r>
    </w:p>
    <w:p w:rsidR="00007DA4" w:rsidRDefault="00007DA4" w:rsidP="00007DA4">
      <w:pPr>
        <w:pStyle w:val="Ruller41"/>
        <w:rPr>
          <w:rFonts w:ascii="FrankRuehl" w:hAnsi="FrankRuehl"/>
          <w:b/>
          <w:bCs/>
          <w:sz w:val="28"/>
          <w:u w:val="single"/>
          <w:rtl/>
        </w:rPr>
      </w:pPr>
    </w:p>
    <w:p w:rsidR="00007DA4" w:rsidRDefault="00007DA4" w:rsidP="00007DA4">
      <w:pPr>
        <w:pStyle w:val="Ruller41"/>
        <w:rPr>
          <w:rFonts w:ascii="FrankRuehl" w:hAnsi="FrankRuehl"/>
          <w:b/>
          <w:bCs/>
          <w:sz w:val="28"/>
          <w:u w:val="single"/>
          <w:rtl/>
        </w:rPr>
      </w:pPr>
      <w:r>
        <w:rPr>
          <w:rFonts w:ascii="FrankRuehl" w:hAnsi="FrankRuehl"/>
          <w:b/>
          <w:bCs/>
          <w:sz w:val="28"/>
          <w:u w:val="single"/>
          <w:rtl/>
        </w:rPr>
        <w:t>הפסד השכר בשנים האבודות</w:t>
      </w:r>
    </w:p>
    <w:p w:rsidR="00007DA4" w:rsidRDefault="00007DA4" w:rsidP="00007DA4">
      <w:pPr>
        <w:pStyle w:val="Ruller41"/>
        <w:rPr>
          <w:sz w:val="22"/>
          <w:rtl/>
        </w:rPr>
      </w:pPr>
    </w:p>
    <w:p w:rsidR="00007DA4" w:rsidRDefault="00007DA4" w:rsidP="00007DA4">
      <w:pPr>
        <w:pStyle w:val="Ruller41"/>
        <w:rPr>
          <w:rFonts w:ascii="Calibri" w:hAnsi="Calibri"/>
          <w:sz w:val="28"/>
          <w:rtl/>
        </w:rPr>
      </w:pPr>
      <w:r>
        <w:rPr>
          <w:rFonts w:cs="David"/>
          <w:sz w:val="24"/>
          <w:szCs w:val="24"/>
          <w:rtl/>
        </w:rPr>
        <w:t>15.</w:t>
      </w:r>
      <w:r>
        <w:rPr>
          <w:rFonts w:cs="David"/>
          <w:sz w:val="24"/>
          <w:szCs w:val="24"/>
          <w:rtl/>
        </w:rPr>
        <w:tab/>
      </w:r>
      <w:r>
        <w:rPr>
          <w:rFonts w:ascii="Calibri" w:hAnsi="Calibri"/>
          <w:sz w:val="28"/>
          <w:rtl/>
        </w:rPr>
        <w:t xml:space="preserve">בהתאם להלכת </w:t>
      </w:r>
      <w:proofErr w:type="spellStart"/>
      <w:r>
        <w:rPr>
          <w:rFonts w:ascii="Calibri" w:hAnsi="Calibri"/>
          <w:sz w:val="28"/>
          <w:rtl/>
        </w:rPr>
        <w:t>פינץ</w:t>
      </w:r>
      <w:proofErr w:type="spellEnd"/>
      <w:r>
        <w:rPr>
          <w:rFonts w:ascii="Calibri" w:hAnsi="Calibri"/>
          <w:sz w:val="28"/>
          <w:rtl/>
        </w:rPr>
        <w:t xml:space="preserve"> </w:t>
      </w:r>
      <w:r>
        <w:rPr>
          <w:rFonts w:ascii="FrankRuehl" w:hAnsi="FrankRuehl"/>
          <w:color w:val="000000" w:themeColor="text1"/>
          <w:sz w:val="28"/>
          <w:rtl/>
        </w:rPr>
        <w:t>(</w:t>
      </w:r>
      <w:hyperlink r:id="rId11" w:history="1">
        <w:r>
          <w:rPr>
            <w:rStyle w:val="Hyperlink"/>
            <w:rFonts w:ascii="FrankRuehl" w:hAnsi="FrankRuehl"/>
            <w:color w:val="000000" w:themeColor="text1"/>
            <w:sz w:val="28"/>
            <w:rtl/>
          </w:rPr>
          <w:t>ע"א 10990/05</w:t>
        </w:r>
      </w:hyperlink>
      <w:r>
        <w:rPr>
          <w:rFonts w:ascii="Calibri" w:hAnsi="Calibri"/>
          <w:sz w:val="28"/>
          <w:rtl/>
        </w:rPr>
        <w:t xml:space="preserve"> </w:t>
      </w:r>
      <w:r>
        <w:rPr>
          <w:rFonts w:ascii="Calibri" w:hAnsi="Calibri" w:cs="Miriam"/>
          <w:sz w:val="24"/>
          <w:szCs w:val="24"/>
          <w:rtl/>
        </w:rPr>
        <w:t xml:space="preserve">דוד </w:t>
      </w:r>
      <w:proofErr w:type="spellStart"/>
      <w:r>
        <w:rPr>
          <w:rFonts w:ascii="Calibri" w:hAnsi="Calibri" w:cs="Miriam"/>
          <w:sz w:val="24"/>
          <w:szCs w:val="24"/>
          <w:rtl/>
        </w:rPr>
        <w:t>פינץ</w:t>
      </w:r>
      <w:proofErr w:type="spellEnd"/>
      <w:r>
        <w:rPr>
          <w:rFonts w:ascii="Calibri" w:hAnsi="Calibri" w:cs="Miriam"/>
          <w:sz w:val="24"/>
          <w:szCs w:val="24"/>
          <w:rtl/>
        </w:rPr>
        <w:t xml:space="preserve"> נ' הראל חברה לביטוח בע"מ</w:t>
      </w:r>
      <w:r>
        <w:rPr>
          <w:rFonts w:ascii="Calibri" w:hAnsi="Calibri"/>
          <w:sz w:val="24"/>
          <w:szCs w:val="24"/>
          <w:rtl/>
        </w:rPr>
        <w:t xml:space="preserve"> </w:t>
      </w:r>
      <w:r>
        <w:rPr>
          <w:rFonts w:ascii="Calibri" w:hAnsi="Calibri"/>
          <w:sz w:val="28"/>
          <w:rtl/>
        </w:rPr>
        <w:t xml:space="preserve">(11.4.2006)) הפסד השכר ל"שנים האבודות" לניזוק חסר תלויים כבענייננו, מחושב לפי 30% מן ההשתכרות עד גיל 67. הצדדים חלוקים בשאלת בסיס השכר. התובעת טוענת כי בסיס השכר לחישוב הפסדי השכר הוא בגבוה השכר הממוצע במשק בישראל העומד היום על 11,525 ₪. הרש"פ טוענת מנגד, שלמרות גילה הצעיר של המנוחה, לא  מדובר בצעירה שטרם החלה לכתוב את סיפור חייה. אלא בצעירה שלאחר סיום לימודיה למדה תפירה ועזרה לאמה בעבודות הבית ובגידול אחיותיה הקטנות וכי גם לאחר נישואיה היא הייתה הופכת לעקרת בית בדיוק כמו אמה. לכן לטענת הרש"פ אין לחשב את הפסדי שכרה בהתאם לשכר הממוצע במשק. מכל מקום מציינת הרש"פ, השכר הממוצע במשק </w:t>
      </w:r>
      <w:r>
        <w:rPr>
          <w:rFonts w:ascii="Calibri" w:hAnsi="Calibri"/>
          <w:sz w:val="28"/>
          <w:rtl/>
        </w:rPr>
        <w:lastRenderedPageBreak/>
        <w:t xml:space="preserve">הרלוונטי בענייננו הוא השכר הממוצע בשטחי הרש"פ ולא בישראל היות והמנוחה הייתה תושבת שטחים ולא הייתה לה אזרחות ישראלית. </w:t>
      </w:r>
    </w:p>
    <w:p w:rsidR="00007DA4" w:rsidRDefault="00007DA4" w:rsidP="00007DA4">
      <w:pPr>
        <w:pStyle w:val="Ruller41"/>
        <w:rPr>
          <w:rFonts w:ascii="Calibri" w:hAnsi="Calibri"/>
          <w:sz w:val="28"/>
          <w:rtl/>
        </w:rPr>
      </w:pPr>
    </w:p>
    <w:p w:rsidR="00007DA4" w:rsidRDefault="00007DA4" w:rsidP="00007DA4">
      <w:pPr>
        <w:pStyle w:val="Ruller41"/>
        <w:rPr>
          <w:rFonts w:ascii="Calibri" w:hAnsi="Calibri" w:cs="Miriam"/>
          <w:sz w:val="22"/>
          <w:rtl/>
        </w:rPr>
      </w:pPr>
      <w:r>
        <w:rPr>
          <w:rFonts w:ascii="Calibri" w:hAnsi="Calibri"/>
          <w:sz w:val="28"/>
          <w:rtl/>
        </w:rPr>
        <w:t>16.</w:t>
      </w:r>
      <w:r>
        <w:rPr>
          <w:rFonts w:ascii="Calibri" w:hAnsi="Calibri"/>
          <w:sz w:val="28"/>
          <w:rtl/>
        </w:rPr>
        <w:tab/>
        <w:t xml:space="preserve">מקובלת עליי טענת הרש"פ לפיה השכר הממוצע במשק הרלוונטי לענייננו הוא השכר הממוצע במשק בשטחי הרש"פ מקום מושבה את המנוחה במותה. </w:t>
      </w:r>
      <w:r>
        <w:rPr>
          <w:rFonts w:ascii="FrankRuehl" w:hAnsi="FrankRuehl"/>
          <w:sz w:val="28"/>
          <w:rtl/>
        </w:rPr>
        <w:t xml:space="preserve">הצדדים לא הגישו ראיות בשאלת השכר הממוצע במשק בשטחי הרש"פ ולכן  אגזור את השכר הממוצע במשק בשטחי הרש"פ מפסיקה עדכנית שדנה בנושא זה. בשים לב לפסיקה העדכנית בנושא, אני מעמידה את השכר הממוצע במשק בשטחי הרש"פ על 2,700 ₪ (ראו ת"א (מחוזי ת"א) 30640-01-15 </w:t>
      </w:r>
      <w:r>
        <w:rPr>
          <w:rFonts w:ascii="Miriam" w:hAnsi="Miriam" w:cs="Miriam"/>
          <w:sz w:val="24"/>
          <w:szCs w:val="24"/>
          <w:rtl/>
        </w:rPr>
        <w:t>פלונית נ' כץ</w:t>
      </w:r>
      <w:r>
        <w:rPr>
          <w:rFonts w:ascii="FrankRuehl" w:hAnsi="FrankRuehl"/>
          <w:sz w:val="28"/>
          <w:rtl/>
        </w:rPr>
        <w:t xml:space="preserve"> (17.5.2020) שאושר על ידי בית המשפט  עליון בע"א 4258/20 </w:t>
      </w:r>
      <w:r>
        <w:rPr>
          <w:rFonts w:ascii="Miriam" w:hAnsi="Miriam" w:cs="Miriam"/>
          <w:sz w:val="24"/>
          <w:szCs w:val="24"/>
          <w:rtl/>
        </w:rPr>
        <w:t>פלונית נ' פלוני</w:t>
      </w:r>
      <w:r>
        <w:rPr>
          <w:rFonts w:ascii="FrankRuehl" w:hAnsi="FrankRuehl"/>
          <w:sz w:val="24"/>
          <w:szCs w:val="24"/>
          <w:rtl/>
        </w:rPr>
        <w:t xml:space="preserve"> </w:t>
      </w:r>
      <w:r>
        <w:rPr>
          <w:rFonts w:ascii="FrankRuehl" w:hAnsi="FrankRuehl"/>
          <w:sz w:val="28"/>
          <w:rtl/>
        </w:rPr>
        <w:t xml:space="preserve">(25.10.2020) וכן ת"א 14078-04-20 </w:t>
      </w:r>
      <w:r>
        <w:rPr>
          <w:rFonts w:ascii="Miriam" w:hAnsi="Miriam" w:cs="Miriam"/>
          <w:sz w:val="24"/>
          <w:szCs w:val="24"/>
          <w:rtl/>
        </w:rPr>
        <w:t xml:space="preserve">פלוני נ' אגודת </w:t>
      </w:r>
      <w:proofErr w:type="spellStart"/>
      <w:r>
        <w:rPr>
          <w:rFonts w:ascii="Miriam" w:hAnsi="Miriam" w:cs="Miriam"/>
          <w:sz w:val="24"/>
          <w:szCs w:val="24"/>
          <w:rtl/>
        </w:rPr>
        <w:t>אלמקאסד</w:t>
      </w:r>
      <w:proofErr w:type="spellEnd"/>
      <w:r>
        <w:rPr>
          <w:rFonts w:ascii="Miriam" w:hAnsi="Miriam" w:cs="Miriam"/>
          <w:sz w:val="24"/>
          <w:szCs w:val="24"/>
          <w:rtl/>
        </w:rPr>
        <w:t xml:space="preserve"> האסלמית לצדקה בירושלים</w:t>
      </w:r>
      <w:r>
        <w:rPr>
          <w:rFonts w:ascii="FrankRuehl" w:hAnsi="FrankRuehl"/>
          <w:sz w:val="24"/>
          <w:szCs w:val="24"/>
          <w:rtl/>
        </w:rPr>
        <w:t xml:space="preserve"> </w:t>
      </w:r>
      <w:r>
        <w:rPr>
          <w:rFonts w:ascii="FrankRuehl" w:hAnsi="FrankRuehl"/>
          <w:sz w:val="28"/>
          <w:rtl/>
        </w:rPr>
        <w:t xml:space="preserve">(2.3.2022)).  </w:t>
      </w:r>
      <w:r>
        <w:rPr>
          <w:rFonts w:ascii="Calibri" w:hAnsi="Calibri"/>
          <w:sz w:val="28"/>
          <w:rtl/>
        </w:rPr>
        <w:t xml:space="preserve">עם זאת אינני מקבלת את טענת הרש"פ לפיה סיפור חייה של המנוחה מעיד על כך שהייתה הופכת לעקרת בית כמו אמה. בשים לב מחד לעיסוקה ולימודיה של המנוחה עובר למותה המלמד על בסיס שכר נמוך מן השכר הממוצע במשק, ומאידך נוכח גילה הצעיר מאוד במותה, מצאתי להעמיד את בסיס השכר על 75% מן השכר הממוצע במשק בשטחי הרש"פ  </w:t>
      </w:r>
      <w:r>
        <w:rPr>
          <w:rFonts w:ascii="FrankRuehl" w:hAnsi="FrankRuehl"/>
          <w:sz w:val="28"/>
          <w:rtl/>
        </w:rPr>
        <w:t>היינו על 2,000 ₪ לחודש.</w:t>
      </w:r>
      <w:r>
        <w:rPr>
          <w:rFonts w:ascii="Calibri" w:hAnsi="Calibri" w:cs="Miriam"/>
          <w:rtl/>
        </w:rPr>
        <w:t xml:space="preserve"> </w:t>
      </w:r>
    </w:p>
    <w:p w:rsidR="00007DA4" w:rsidRDefault="00007DA4" w:rsidP="00007DA4">
      <w:pPr>
        <w:pStyle w:val="Ruller41"/>
        <w:rPr>
          <w:rFonts w:ascii="Calibri" w:hAnsi="Calibri" w:cs="Miriam"/>
          <w:rtl/>
        </w:rPr>
      </w:pPr>
    </w:p>
    <w:p w:rsidR="00007DA4" w:rsidRDefault="00007DA4" w:rsidP="00007DA4">
      <w:pPr>
        <w:pStyle w:val="Ruller41"/>
        <w:rPr>
          <w:rFonts w:ascii="FrankRuehl" w:hAnsi="FrankRuehl"/>
          <w:sz w:val="28"/>
          <w:rtl/>
        </w:rPr>
      </w:pPr>
      <w:r>
        <w:rPr>
          <w:rFonts w:ascii="FrankRuehl" w:hAnsi="FrankRuehl"/>
          <w:sz w:val="28"/>
          <w:rtl/>
        </w:rPr>
        <w:t>נוכח האמור יש לפצות את התובעת בגין השנים האבודות של המנוחה כדלקמן:</w:t>
      </w:r>
    </w:p>
    <w:p w:rsidR="00007DA4" w:rsidRDefault="00007DA4" w:rsidP="00007DA4">
      <w:pPr>
        <w:pStyle w:val="Ruller41"/>
        <w:rPr>
          <w:rFonts w:ascii="Calibri" w:hAnsi="Calibri" w:cs="Miriam"/>
          <w:b/>
          <w:bCs/>
          <w:sz w:val="22"/>
          <w:u w:val="single"/>
          <w:rtl/>
        </w:rPr>
      </w:pPr>
      <w:r>
        <w:rPr>
          <w:rFonts w:ascii="FrankRuehl" w:hAnsi="FrankRuehl"/>
          <w:sz w:val="28"/>
          <w:rtl/>
        </w:rPr>
        <w:t xml:space="preserve">לעבר - מאז מות המנוחה ועד היום חלפו  245 חודשים ולכן יש לפצות בסך </w:t>
      </w:r>
      <w:r>
        <w:rPr>
          <w:rFonts w:ascii="FrankRuehl" w:hAnsi="FrankRuehl"/>
          <w:b/>
          <w:bCs/>
          <w:sz w:val="28"/>
          <w:u w:val="single"/>
          <w:rtl/>
        </w:rPr>
        <w:t xml:space="preserve">147,000 בתוספת ריבית מאמצע התקופה. </w:t>
      </w:r>
    </w:p>
    <w:p w:rsidR="00007DA4" w:rsidRDefault="00007DA4" w:rsidP="00007DA4">
      <w:pPr>
        <w:pStyle w:val="Ruller41"/>
        <w:rPr>
          <w:rFonts w:ascii="FrankRuehl" w:hAnsi="FrankRuehl"/>
          <w:b/>
          <w:bCs/>
          <w:u w:val="single"/>
          <w:rtl/>
        </w:rPr>
      </w:pPr>
      <w:r>
        <w:rPr>
          <w:rFonts w:ascii="FrankRuehl" w:hAnsi="FrankRuehl"/>
          <w:rtl/>
        </w:rPr>
        <w:t>לעתיד - עד גיל 67</w:t>
      </w:r>
      <w:r>
        <w:rPr>
          <w:rFonts w:ascii="FrankRuehl" w:hAnsi="FrankRuehl"/>
          <w:b/>
          <w:bCs/>
          <w:u w:val="single"/>
          <w:rtl/>
        </w:rPr>
        <w:t xml:space="preserve"> בסך 133,000 ₪ נכון ליום פסק הדין. </w:t>
      </w:r>
    </w:p>
    <w:p w:rsidR="00007DA4" w:rsidRDefault="00007DA4" w:rsidP="00007DA4">
      <w:pPr>
        <w:pStyle w:val="Ruller41"/>
        <w:rPr>
          <w:rFonts w:ascii="Calibri" w:hAnsi="Calibri" w:cs="Miriam"/>
          <w:rtl/>
        </w:rPr>
      </w:pPr>
    </w:p>
    <w:p w:rsidR="00007DA4" w:rsidRDefault="00007DA4" w:rsidP="00007DA4">
      <w:pPr>
        <w:spacing w:line="360" w:lineRule="auto"/>
        <w:ind w:left="311" w:hanging="410"/>
        <w:jc w:val="both"/>
        <w:rPr>
          <w:rFonts w:ascii="FrankRuehl" w:hAnsi="FrankRuehl" w:cs="FrankRuehl"/>
          <w:b/>
          <w:bCs/>
          <w:sz w:val="28"/>
          <w:szCs w:val="28"/>
          <w:u w:val="single"/>
          <w:rtl/>
        </w:rPr>
      </w:pPr>
      <w:r>
        <w:rPr>
          <w:rFonts w:ascii="FrankRuehl" w:hAnsi="FrankRuehl" w:cs="FrankRuehl"/>
          <w:b/>
          <w:bCs/>
          <w:sz w:val="28"/>
          <w:szCs w:val="28"/>
          <w:u w:val="single"/>
          <w:rtl/>
        </w:rPr>
        <w:t>הוצאות קבורה ומצבה</w:t>
      </w:r>
    </w:p>
    <w:p w:rsidR="00007DA4" w:rsidRDefault="00007DA4" w:rsidP="00007DA4">
      <w:pPr>
        <w:ind w:left="311"/>
        <w:jc w:val="both"/>
        <w:rPr>
          <w:rFonts w:ascii="Calibri" w:hAnsi="Calibri" w:cs="Miriam"/>
          <w:sz w:val="22"/>
          <w:szCs w:val="22"/>
          <w:rtl/>
        </w:rPr>
      </w:pPr>
    </w:p>
    <w:p w:rsidR="00007DA4" w:rsidRDefault="00007DA4" w:rsidP="00007DA4">
      <w:pPr>
        <w:tabs>
          <w:tab w:val="left" w:pos="752"/>
          <w:tab w:val="left" w:pos="1020"/>
        </w:tabs>
        <w:spacing w:line="360" w:lineRule="auto"/>
        <w:ind w:left="-99"/>
        <w:contextualSpacing/>
        <w:jc w:val="both"/>
        <w:rPr>
          <w:rFonts w:ascii="Calibri" w:hAnsi="Calibri" w:cs="FrankRuehl"/>
          <w:b/>
          <w:bCs/>
          <w:sz w:val="28"/>
          <w:szCs w:val="28"/>
          <w:u w:val="single"/>
          <w:rtl/>
        </w:rPr>
      </w:pPr>
      <w:r>
        <w:rPr>
          <w:rFonts w:ascii="Calibri" w:hAnsi="Calibri" w:cs="FrankRuehl"/>
          <w:sz w:val="28"/>
          <w:szCs w:val="28"/>
          <w:rtl/>
        </w:rPr>
        <w:t>17.</w:t>
      </w:r>
      <w:r>
        <w:rPr>
          <w:rFonts w:ascii="Calibri" w:hAnsi="Calibri" w:cs="FrankRuehl"/>
          <w:sz w:val="28"/>
          <w:szCs w:val="28"/>
          <w:rtl/>
        </w:rPr>
        <w:tab/>
        <w:t xml:space="preserve">לא צורפו נתונים אודות הוצאות הקבורה ברש"פ. על דרך האומדן אני פוסקת סך של </w:t>
      </w:r>
      <w:r>
        <w:rPr>
          <w:rFonts w:ascii="Calibri" w:hAnsi="Calibri" w:cs="FrankRuehl"/>
          <w:b/>
          <w:bCs/>
          <w:sz w:val="28"/>
          <w:szCs w:val="28"/>
          <w:u w:val="single"/>
          <w:rtl/>
        </w:rPr>
        <w:t>5,000 ₪ נכון ליום פסק הדין.</w:t>
      </w:r>
    </w:p>
    <w:p w:rsidR="00007DA4" w:rsidRDefault="00007DA4" w:rsidP="00007DA4">
      <w:pPr>
        <w:tabs>
          <w:tab w:val="left" w:pos="935"/>
          <w:tab w:val="left" w:pos="1020"/>
        </w:tabs>
        <w:spacing w:line="360" w:lineRule="auto"/>
        <w:ind w:left="-99"/>
        <w:contextualSpacing/>
        <w:jc w:val="both"/>
        <w:rPr>
          <w:rFonts w:ascii="Calibri" w:hAnsi="Calibri" w:cs="FrankRuehl"/>
          <w:sz w:val="28"/>
          <w:szCs w:val="28"/>
          <w:rtl/>
        </w:rPr>
      </w:pPr>
    </w:p>
    <w:p w:rsidR="00A10C23" w:rsidRDefault="00A10C23" w:rsidP="00007DA4">
      <w:pPr>
        <w:tabs>
          <w:tab w:val="left" w:pos="935"/>
          <w:tab w:val="left" w:pos="1020"/>
        </w:tabs>
        <w:spacing w:line="360" w:lineRule="auto"/>
        <w:ind w:left="-99"/>
        <w:contextualSpacing/>
        <w:jc w:val="both"/>
        <w:rPr>
          <w:rFonts w:ascii="Calibri" w:hAnsi="Calibri" w:cs="FrankRuehl"/>
          <w:b/>
          <w:bCs/>
          <w:sz w:val="28"/>
          <w:szCs w:val="28"/>
          <w:u w:val="single"/>
          <w:rtl/>
        </w:rPr>
      </w:pPr>
    </w:p>
    <w:p w:rsidR="00A10C23" w:rsidRDefault="00A10C23" w:rsidP="00007DA4">
      <w:pPr>
        <w:tabs>
          <w:tab w:val="left" w:pos="935"/>
          <w:tab w:val="left" w:pos="1020"/>
        </w:tabs>
        <w:spacing w:line="360" w:lineRule="auto"/>
        <w:ind w:left="-99"/>
        <w:contextualSpacing/>
        <w:jc w:val="both"/>
        <w:rPr>
          <w:rFonts w:ascii="Calibri" w:hAnsi="Calibri" w:cs="FrankRuehl"/>
          <w:b/>
          <w:bCs/>
          <w:sz w:val="28"/>
          <w:szCs w:val="28"/>
          <w:u w:val="single"/>
          <w:rtl/>
        </w:rPr>
      </w:pPr>
    </w:p>
    <w:p w:rsidR="00007DA4" w:rsidRDefault="00007DA4" w:rsidP="00007DA4">
      <w:pPr>
        <w:tabs>
          <w:tab w:val="left" w:pos="935"/>
          <w:tab w:val="left" w:pos="1020"/>
        </w:tabs>
        <w:spacing w:line="360" w:lineRule="auto"/>
        <w:ind w:left="-99"/>
        <w:contextualSpacing/>
        <w:jc w:val="both"/>
        <w:rPr>
          <w:rFonts w:ascii="Calibri" w:hAnsi="Calibri" w:cs="FrankRuehl"/>
          <w:b/>
          <w:bCs/>
          <w:sz w:val="28"/>
          <w:szCs w:val="28"/>
          <w:u w:val="single"/>
          <w:rtl/>
        </w:rPr>
      </w:pPr>
      <w:r>
        <w:rPr>
          <w:rFonts w:ascii="Calibri" w:hAnsi="Calibri" w:cs="FrankRuehl"/>
          <w:b/>
          <w:bCs/>
          <w:sz w:val="28"/>
          <w:szCs w:val="28"/>
          <w:u w:val="single"/>
          <w:rtl/>
        </w:rPr>
        <w:lastRenderedPageBreak/>
        <w:t>פיצוי עונשי</w:t>
      </w:r>
    </w:p>
    <w:p w:rsidR="00007DA4" w:rsidRDefault="00007DA4" w:rsidP="00007DA4">
      <w:pPr>
        <w:pStyle w:val="Ruller41"/>
        <w:rPr>
          <w:sz w:val="22"/>
        </w:rPr>
      </w:pPr>
    </w:p>
    <w:p w:rsidR="00007DA4" w:rsidRDefault="00007DA4" w:rsidP="00007DA4">
      <w:pPr>
        <w:pStyle w:val="Ruller41"/>
        <w:rPr>
          <w:rtl/>
        </w:rPr>
      </w:pPr>
      <w:r>
        <w:rPr>
          <w:rtl/>
        </w:rPr>
        <w:t>18.</w:t>
      </w:r>
      <w:r>
        <w:rPr>
          <w:rtl/>
        </w:rPr>
        <w:tab/>
        <w:t xml:space="preserve">המסגרת הנורמטיבית לפסיקת פיצויים </w:t>
      </w:r>
      <w:proofErr w:type="spellStart"/>
      <w:r>
        <w:rPr>
          <w:rtl/>
        </w:rPr>
        <w:t>עונשיים</w:t>
      </w:r>
      <w:proofErr w:type="spellEnd"/>
      <w:r>
        <w:rPr>
          <w:rtl/>
        </w:rPr>
        <w:t xml:space="preserve"> תוארה בהרחבה </w:t>
      </w:r>
      <w:r>
        <w:rPr>
          <w:rFonts w:ascii="Century" w:hAnsi="Century"/>
          <w:rtl/>
        </w:rPr>
        <w:t>ב</w:t>
      </w:r>
      <w:hyperlink r:id="rId12" w:history="1">
        <w:r>
          <w:rPr>
            <w:rStyle w:val="Hyperlink"/>
            <w:rFonts w:ascii="Century" w:hAnsi="Century"/>
            <w:rtl/>
          </w:rPr>
          <w:t>ע"א 2144/13</w:t>
        </w:r>
      </w:hyperlink>
      <w:r>
        <w:rPr>
          <w:rFonts w:ascii="Century" w:hAnsi="Century"/>
        </w:rPr>
        <w:t xml:space="preserve"> </w:t>
      </w:r>
      <w:r>
        <w:rPr>
          <w:rFonts w:ascii="Century" w:hAnsi="Century" w:cs="Miriam"/>
          <w:b/>
          <w:spacing w:val="0"/>
          <w:szCs w:val="24"/>
          <w:rtl/>
        </w:rPr>
        <w:t xml:space="preserve">עזבון </w:t>
      </w:r>
      <w:proofErr w:type="spellStart"/>
      <w:r>
        <w:rPr>
          <w:rFonts w:ascii="Century" w:hAnsi="Century" w:cs="Miriam"/>
          <w:b/>
          <w:spacing w:val="0"/>
          <w:szCs w:val="24"/>
          <w:rtl/>
        </w:rPr>
        <w:t>מנטין</w:t>
      </w:r>
      <w:proofErr w:type="spellEnd"/>
      <w:r>
        <w:rPr>
          <w:rFonts w:ascii="Century" w:hAnsi="Century" w:cs="Miriam"/>
          <w:b/>
          <w:spacing w:val="0"/>
          <w:szCs w:val="24"/>
          <w:rtl/>
        </w:rPr>
        <w:t xml:space="preserve"> נ' הרשות הפלסטינאית </w:t>
      </w:r>
      <w:r>
        <w:rPr>
          <w:rFonts w:ascii="FrankRuehl" w:hAnsi="FrankRuehl"/>
          <w:sz w:val="28"/>
        </w:rPr>
        <w:t>(6.12.2017)</w:t>
      </w:r>
      <w:r>
        <w:rPr>
          <w:rFonts w:ascii="Century" w:hAnsi="Century"/>
          <w:rtl/>
        </w:rPr>
        <w:t xml:space="preserve"> (להלן: עניין </w:t>
      </w:r>
      <w:proofErr w:type="spellStart"/>
      <w:r>
        <w:rPr>
          <w:rFonts w:ascii="Century" w:hAnsi="Century" w:cs="Miriam"/>
          <w:b/>
          <w:spacing w:val="0"/>
          <w:szCs w:val="24"/>
          <w:rtl/>
        </w:rPr>
        <w:t>מנטין</w:t>
      </w:r>
      <w:proofErr w:type="spellEnd"/>
      <w:r>
        <w:rPr>
          <w:rFonts w:ascii="Century" w:hAnsi="Century"/>
          <w:rtl/>
        </w:rPr>
        <w:t>) ו</w:t>
      </w:r>
      <w:hyperlink r:id="rId13" w:history="1">
        <w:r>
          <w:rPr>
            <w:rStyle w:val="Hyperlink"/>
            <w:rFonts w:ascii="Century" w:hAnsi="Century"/>
            <w:rtl/>
          </w:rPr>
          <w:t>ע"א 71/18</w:t>
        </w:r>
      </w:hyperlink>
      <w:r>
        <w:rPr>
          <w:rFonts w:ascii="Century" w:hAnsi="Century"/>
          <w:rtl/>
        </w:rPr>
        <w:t xml:space="preserve"> </w:t>
      </w:r>
      <w:r>
        <w:rPr>
          <w:rFonts w:ascii="Century" w:hAnsi="Century" w:cs="Miriam"/>
          <w:b/>
          <w:spacing w:val="0"/>
          <w:szCs w:val="24"/>
          <w:rtl/>
        </w:rPr>
        <w:t>הרשות הפלסטינית נ' יורשי המנוחה שרון בן שלום ז"ל</w:t>
      </w:r>
      <w:r>
        <w:rPr>
          <w:rtl/>
        </w:rPr>
        <w:t xml:space="preserve"> </w:t>
      </w:r>
      <w:r>
        <w:rPr>
          <w:rFonts w:ascii="Times New Roman" w:hAnsi="Times New Roman" w:cs="David"/>
          <w:spacing w:val="0"/>
          <w:szCs w:val="24"/>
          <w:rtl/>
        </w:rPr>
        <w:t xml:space="preserve"> </w:t>
      </w:r>
      <w:r>
        <w:rPr>
          <w:rFonts w:ascii="FrankRuehl" w:hAnsi="FrankRuehl"/>
          <w:color w:val="000000"/>
          <w:sz w:val="28"/>
          <w:rtl/>
        </w:rPr>
        <w:t xml:space="preserve">(‏10.3.2021) (להלן: עניין </w:t>
      </w:r>
      <w:r>
        <w:rPr>
          <w:rFonts w:ascii="Century" w:hAnsi="Century" w:cs="Miriam"/>
          <w:b/>
          <w:spacing w:val="0"/>
          <w:szCs w:val="24"/>
          <w:rtl/>
        </w:rPr>
        <w:t>בן שלום</w:t>
      </w:r>
      <w:r>
        <w:rPr>
          <w:rFonts w:ascii="FrankRuehl" w:hAnsi="FrankRuehl"/>
          <w:color w:val="000000"/>
          <w:sz w:val="28"/>
          <w:rtl/>
        </w:rPr>
        <w:t xml:space="preserve">). בכל הנוגע ליישום עקרונות אלו, על עוולות הנעשות על ידי </w:t>
      </w:r>
      <w:r>
        <w:rPr>
          <w:rtl/>
        </w:rPr>
        <w:t xml:space="preserve">הרש"פ כלפי מי שנחשד על ידה כמסייע לישראל בסיכול פעולות טרור, הרחבתי בעניין </w:t>
      </w:r>
      <w:r>
        <w:rPr>
          <w:rFonts w:ascii="Miriam" w:hAnsi="Miriam" w:cs="Miriam"/>
          <w:sz w:val="24"/>
          <w:szCs w:val="24"/>
          <w:rtl/>
        </w:rPr>
        <w:t xml:space="preserve">פלוני 1 </w:t>
      </w:r>
      <w:r>
        <w:rPr>
          <w:rtl/>
        </w:rPr>
        <w:t xml:space="preserve">ולא אחזור על הדברים. הרש"פ התמקדה בסיכומיה בכך שהמנוחה נעצרה לתקופה בת ארבעה ימים בלבד ובכך שנדחתה טענת התובעת לפיה המנוחה עונתה במהלך מעצרה. לכן לטענתה אין לפסוק במקרה דנן פיצוי עונשי. בכך כמובן אין ממש. אמנם נכון הוא שאילו מעשי הרש"פ היו מסתכמים בכליאת השווא לא נראה שהיה מקום לפסוק פיצוי עונשי. אולם הרש"פ מתעלמת בסיכומיה מן הרצח הנורא של בחורה צעירה שטרם מלאו לה 20 שנה. </w:t>
      </w:r>
      <w:r>
        <w:rPr>
          <w:rFonts w:ascii="Century" w:hAnsi="Century"/>
          <w:rtl/>
        </w:rPr>
        <w:t xml:space="preserve">הרש"פ טוענת שלא מדובר באירוע טרור ולכן המניעים שעמדו בבסיס פסקי הדין שבהם נדונה הסוגיה של פסיקת פיצויים </w:t>
      </w:r>
      <w:proofErr w:type="spellStart"/>
      <w:r>
        <w:rPr>
          <w:rFonts w:ascii="Century" w:hAnsi="Century"/>
          <w:rtl/>
        </w:rPr>
        <w:t>עונשיים</w:t>
      </w:r>
      <w:proofErr w:type="spellEnd"/>
      <w:r>
        <w:rPr>
          <w:rFonts w:ascii="Century" w:hAnsi="Century"/>
          <w:rtl/>
        </w:rPr>
        <w:t xml:space="preserve"> בגין אירועי טרור (בעניין </w:t>
      </w:r>
      <w:proofErr w:type="spellStart"/>
      <w:r>
        <w:rPr>
          <w:rFonts w:ascii="Miriam" w:hAnsi="Miriam" w:cs="Miriam"/>
          <w:sz w:val="24"/>
          <w:szCs w:val="24"/>
          <w:rtl/>
        </w:rPr>
        <w:t>מנטין</w:t>
      </w:r>
      <w:proofErr w:type="spellEnd"/>
      <w:r>
        <w:rPr>
          <w:rFonts w:ascii="Century" w:hAnsi="Century"/>
          <w:rtl/>
        </w:rPr>
        <w:t xml:space="preserve"> ובעניין </w:t>
      </w:r>
      <w:r>
        <w:rPr>
          <w:rFonts w:ascii="Miriam" w:hAnsi="Miriam" w:cs="Miriam"/>
          <w:rtl/>
        </w:rPr>
        <w:t>בן שלום</w:t>
      </w:r>
      <w:r>
        <w:rPr>
          <w:rFonts w:ascii="Century" w:hAnsi="Century"/>
          <w:rtl/>
        </w:rPr>
        <w:t xml:space="preserve">) אינה חלה בענייננו. אין לקבל טענה זו. רצח הוא </w:t>
      </w:r>
      <w:r>
        <w:rPr>
          <w:sz w:val="28"/>
          <w:rtl/>
        </w:rPr>
        <w:t xml:space="preserve">מעשה מקומם ומעורר סלידה באופן המצדיק פסיקת פיצוי עונשי </w:t>
      </w:r>
      <w:r>
        <w:rPr>
          <w:rtl/>
        </w:rPr>
        <w:t xml:space="preserve">במיוחד בנסיבות שבהן המזיק, כמו הרש"פ, לא עומד לדין פלילי (עניין </w:t>
      </w:r>
      <w:proofErr w:type="spellStart"/>
      <w:r>
        <w:rPr>
          <w:rFonts w:ascii="Miriam" w:hAnsi="Miriam" w:cs="Miriam"/>
          <w:szCs w:val="24"/>
          <w:rtl/>
        </w:rPr>
        <w:t>מנטין</w:t>
      </w:r>
      <w:proofErr w:type="spellEnd"/>
      <w:r>
        <w:rPr>
          <w:rtl/>
        </w:rPr>
        <w:t xml:space="preserve"> פסקה 153;</w:t>
      </w:r>
      <w:r>
        <w:rPr>
          <w:rFonts w:hint="cs"/>
        </w:rPr>
        <w:t xml:space="preserve"> </w:t>
      </w:r>
      <w:r>
        <w:rPr>
          <w:rtl/>
        </w:rPr>
        <w:t xml:space="preserve">עניין </w:t>
      </w:r>
      <w:r>
        <w:rPr>
          <w:rFonts w:ascii="Miriam" w:hAnsi="Miriam" w:cs="Miriam"/>
          <w:szCs w:val="24"/>
          <w:rtl/>
        </w:rPr>
        <w:t>בן שלום</w:t>
      </w:r>
      <w:r>
        <w:rPr>
          <w:rtl/>
        </w:rPr>
        <w:t xml:space="preserve">, פסקאות 77 ו-86). לכן גם במקרה שלפנינו יש לפסוק פיצוי עונשי. </w:t>
      </w:r>
    </w:p>
    <w:p w:rsidR="00007DA4" w:rsidRDefault="00007DA4" w:rsidP="00007DA4">
      <w:pPr>
        <w:pStyle w:val="Ruller41"/>
        <w:rPr>
          <w:rFonts w:ascii="Century" w:hAnsi="Century"/>
          <w:rtl/>
        </w:rPr>
      </w:pPr>
      <w:r>
        <w:rPr>
          <w:rFonts w:ascii="Century" w:hAnsi="Century"/>
          <w:rtl/>
        </w:rPr>
        <w:t xml:space="preserve"> </w:t>
      </w:r>
    </w:p>
    <w:p w:rsidR="00007DA4" w:rsidRDefault="00007DA4" w:rsidP="00007DA4">
      <w:pPr>
        <w:pStyle w:val="Ruller41"/>
        <w:rPr>
          <w:rtl/>
        </w:rPr>
      </w:pPr>
      <w:r>
        <w:rPr>
          <w:rFonts w:ascii="Century" w:hAnsi="Century"/>
          <w:rtl/>
        </w:rPr>
        <w:tab/>
        <w:t xml:space="preserve">בעניין </w:t>
      </w:r>
      <w:proofErr w:type="spellStart"/>
      <w:r>
        <w:rPr>
          <w:rFonts w:ascii="Century" w:hAnsi="Century" w:cs="Miriam"/>
          <w:b/>
          <w:spacing w:val="0"/>
          <w:szCs w:val="24"/>
          <w:rtl/>
        </w:rPr>
        <w:t>מנטין</w:t>
      </w:r>
      <w:proofErr w:type="spellEnd"/>
      <w:r>
        <w:rPr>
          <w:rFonts w:ascii="Century" w:hAnsi="Century"/>
          <w:rtl/>
        </w:rPr>
        <w:t xml:space="preserve"> ובעניין </w:t>
      </w:r>
      <w:r>
        <w:rPr>
          <w:rFonts w:ascii="Century" w:hAnsi="Century" w:cs="Miriam"/>
          <w:b/>
          <w:spacing w:val="0"/>
          <w:szCs w:val="24"/>
          <w:rtl/>
        </w:rPr>
        <w:t>בן שלום</w:t>
      </w:r>
      <w:r>
        <w:rPr>
          <w:rFonts w:ascii="Century" w:hAnsi="Century"/>
          <w:rtl/>
        </w:rPr>
        <w:t xml:space="preserve">, בית משפט העליון פסק לעיזבונות קורבנות הטרור סך של 3 </w:t>
      </w:r>
      <w:proofErr w:type="spellStart"/>
      <w:r>
        <w:rPr>
          <w:rFonts w:ascii="Century" w:hAnsi="Century"/>
          <w:rtl/>
        </w:rPr>
        <w:t>מליון</w:t>
      </w:r>
      <w:proofErr w:type="spellEnd"/>
      <w:r>
        <w:rPr>
          <w:rFonts w:ascii="Century" w:hAnsi="Century"/>
          <w:rtl/>
        </w:rPr>
        <w:t xml:space="preserve"> ₪ (עניין </w:t>
      </w:r>
      <w:proofErr w:type="spellStart"/>
      <w:r>
        <w:rPr>
          <w:rFonts w:ascii="Century" w:hAnsi="Century" w:cs="Miriam"/>
          <w:b/>
          <w:spacing w:val="0"/>
          <w:szCs w:val="24"/>
          <w:rtl/>
        </w:rPr>
        <w:t>מנטין</w:t>
      </w:r>
      <w:proofErr w:type="spellEnd"/>
      <w:r>
        <w:rPr>
          <w:rFonts w:ascii="Century" w:hAnsi="Century"/>
          <w:rtl/>
        </w:rPr>
        <w:t xml:space="preserve">, פסקה 164; עניין </w:t>
      </w:r>
      <w:r>
        <w:rPr>
          <w:rFonts w:ascii="Century" w:hAnsi="Century" w:cs="Miriam"/>
          <w:b/>
          <w:spacing w:val="0"/>
          <w:szCs w:val="24"/>
          <w:rtl/>
        </w:rPr>
        <w:t>בן שלום</w:t>
      </w:r>
      <w:r>
        <w:rPr>
          <w:rFonts w:ascii="Century" w:hAnsi="Century"/>
          <w:rtl/>
        </w:rPr>
        <w:t xml:space="preserve">, פסקה 141 </w:t>
      </w:r>
      <w:r>
        <w:rPr>
          <w:rFonts w:ascii="FrankRuehl" w:hAnsi="FrankRuehl"/>
          <w:sz w:val="28"/>
          <w:rtl/>
        </w:rPr>
        <w:t xml:space="preserve">וכן  </w:t>
      </w:r>
      <w:hyperlink r:id="rId14" w:history="1">
        <w:r>
          <w:rPr>
            <w:rStyle w:val="Hyperlink"/>
            <w:rFonts w:ascii="FrankRuehl" w:hAnsi="FrankRuehl"/>
            <w:color w:val="000000" w:themeColor="text1"/>
            <w:sz w:val="28"/>
            <w:rtl/>
          </w:rPr>
          <w:t>ע"א 7036/19</w:t>
        </w:r>
      </w:hyperlink>
      <w:r>
        <w:rPr>
          <w:rFonts w:ascii="FrankRuehl" w:hAnsi="FrankRuehl"/>
          <w:color w:val="000000" w:themeColor="text1"/>
          <w:sz w:val="28"/>
          <w:rtl/>
        </w:rPr>
        <w:t xml:space="preserve"> </w:t>
      </w:r>
      <w:r>
        <w:rPr>
          <w:rFonts w:ascii="Miriam" w:hAnsi="Miriam" w:cs="Miriam"/>
          <w:b/>
          <w:color w:val="000000" w:themeColor="text1"/>
          <w:spacing w:val="0"/>
          <w:sz w:val="24"/>
          <w:szCs w:val="24"/>
          <w:rtl/>
        </w:rPr>
        <w:t>פלונים נ' עיסא</w:t>
      </w:r>
      <w:r>
        <w:rPr>
          <w:rFonts w:ascii="FrankRuehl" w:hAnsi="FrankRuehl"/>
          <w:color w:val="000000" w:themeColor="text1"/>
          <w:sz w:val="28"/>
          <w:rtl/>
        </w:rPr>
        <w:t>, פסקה 26</w:t>
      </w:r>
      <w:r>
        <w:rPr>
          <w:rFonts w:ascii="FrankRuehl" w:hAnsi="FrankRuehl"/>
          <w:color w:val="000000" w:themeColor="text1"/>
          <w:sz w:val="28"/>
        </w:rPr>
        <w:t>)</w:t>
      </w:r>
      <w:r>
        <w:rPr>
          <w:rFonts w:ascii="FrankRuehl" w:hAnsi="FrankRuehl"/>
          <w:color w:val="000000" w:themeColor="text1"/>
          <w:spacing w:val="0"/>
          <w:sz w:val="28"/>
        </w:rPr>
        <w:t xml:space="preserve"> </w:t>
      </w:r>
      <w:r>
        <w:rPr>
          <w:rFonts w:ascii="FrankRuehl" w:hAnsi="FrankRuehl"/>
          <w:color w:val="000000" w:themeColor="text1"/>
          <w:sz w:val="28"/>
          <w:rtl/>
        </w:rPr>
        <w:t xml:space="preserve">27.4.2022) </w:t>
      </w:r>
      <w:r>
        <w:rPr>
          <w:rtl/>
        </w:rPr>
        <w:t>ו</w:t>
      </w:r>
      <w:hyperlink r:id="rId15" w:history="1">
        <w:r>
          <w:rPr>
            <w:rStyle w:val="Hyperlink"/>
            <w:rFonts w:ascii="FrankRuehl" w:hAnsi="FrankRuehl"/>
            <w:color w:val="000000" w:themeColor="text1"/>
            <w:sz w:val="28"/>
            <w:rtl/>
          </w:rPr>
          <w:t>ע"א 8828/20</w:t>
        </w:r>
      </w:hyperlink>
      <w:r>
        <w:rPr>
          <w:rFonts w:ascii="FrankRuehl" w:hAnsi="FrankRuehl"/>
          <w:sz w:val="28"/>
          <w:rtl/>
        </w:rPr>
        <w:t xml:space="preserve"> </w:t>
      </w:r>
      <w:r>
        <w:rPr>
          <w:rFonts w:ascii="Miriam" w:hAnsi="Miriam" w:cs="Miriam"/>
          <w:b/>
          <w:spacing w:val="0"/>
          <w:sz w:val="24"/>
          <w:szCs w:val="24"/>
          <w:rtl/>
        </w:rPr>
        <w:t>הרשות הפלסטינית נ' פלונית</w:t>
      </w:r>
      <w:r>
        <w:rPr>
          <w:rFonts w:ascii="FrankRuehl" w:hAnsi="FrankRuehl"/>
          <w:sz w:val="28"/>
          <w:rtl/>
        </w:rPr>
        <w:t xml:space="preserve">, פסקה 21 </w:t>
      </w:r>
      <w:r>
        <w:rPr>
          <w:rFonts w:ascii="FrankRuehl" w:hAnsi="FrankRuehl"/>
          <w:color w:val="000000"/>
          <w:sz w:val="28"/>
          <w:rtl/>
        </w:rPr>
        <w:t>(‏6.6.2022)).</w:t>
      </w:r>
      <w:r>
        <w:rPr>
          <w:rFonts w:ascii="FrankRuehl" w:hAnsi="FrankRuehl"/>
          <w:sz w:val="28"/>
          <w:rtl/>
        </w:rPr>
        <w:t xml:space="preserve"> סכום זהה יש לפסוק גם במקרה שלפנינו בין היתר נוכח </w:t>
      </w:r>
      <w:r>
        <w:rPr>
          <w:rtl/>
        </w:rPr>
        <w:t xml:space="preserve">  ה"</w:t>
      </w:r>
      <w:r>
        <w:rPr>
          <w:rFonts w:ascii="Miriam" w:hAnsi="Miriam" w:cs="Miriam"/>
          <w:sz w:val="24"/>
          <w:szCs w:val="24"/>
          <w:rtl/>
        </w:rPr>
        <w:t>אחידות</w:t>
      </w:r>
      <w:r>
        <w:rPr>
          <w:rtl/>
        </w:rPr>
        <w:t>", ה"</w:t>
      </w:r>
      <w:r>
        <w:rPr>
          <w:rFonts w:ascii="Miriam" w:hAnsi="Miriam" w:cs="Miriam"/>
          <w:sz w:val="24"/>
          <w:szCs w:val="24"/>
          <w:rtl/>
        </w:rPr>
        <w:t>יעילות מערכתית</w:t>
      </w:r>
      <w:r>
        <w:rPr>
          <w:rtl/>
        </w:rPr>
        <w:t xml:space="preserve">" </w:t>
      </w:r>
      <w:proofErr w:type="spellStart"/>
      <w:r>
        <w:rPr>
          <w:rtl/>
        </w:rPr>
        <w:t>וה"</w:t>
      </w:r>
      <w:r>
        <w:rPr>
          <w:rFonts w:ascii="Miriam" w:hAnsi="Miriam" w:cs="Miriam"/>
          <w:sz w:val="24"/>
          <w:szCs w:val="24"/>
          <w:rtl/>
        </w:rPr>
        <w:t>שיוויון</w:t>
      </w:r>
      <w:proofErr w:type="spellEnd"/>
      <w:r>
        <w:rPr>
          <w:rFonts w:ascii="Miriam" w:hAnsi="Miriam" w:cs="Miriam"/>
          <w:sz w:val="24"/>
          <w:szCs w:val="24"/>
          <w:rtl/>
        </w:rPr>
        <w:t xml:space="preserve"> בין הניזוקים</w:t>
      </w:r>
      <w:r>
        <w:rPr>
          <w:rtl/>
        </w:rPr>
        <w:t xml:space="preserve">" שיש לשאוף אליהם בעת פסיקת פיצויים </w:t>
      </w:r>
      <w:proofErr w:type="spellStart"/>
      <w:r>
        <w:rPr>
          <w:rtl/>
        </w:rPr>
        <w:t>עונשיים</w:t>
      </w:r>
      <w:proofErr w:type="spellEnd"/>
      <w:r>
        <w:rPr>
          <w:rtl/>
        </w:rPr>
        <w:t xml:space="preserve"> (עניין </w:t>
      </w:r>
      <w:r>
        <w:rPr>
          <w:rFonts w:ascii="Miriam" w:hAnsi="Miriam" w:cs="Miriam"/>
          <w:sz w:val="24"/>
          <w:szCs w:val="24"/>
          <w:rtl/>
        </w:rPr>
        <w:t>בן שלום</w:t>
      </w:r>
      <w:r>
        <w:rPr>
          <w:rtl/>
        </w:rPr>
        <w:t xml:space="preserve">, פסקה 139 </w:t>
      </w:r>
      <w:proofErr w:type="spellStart"/>
      <w:r>
        <w:rPr>
          <w:rtl/>
        </w:rPr>
        <w:t>ורע"א</w:t>
      </w:r>
      <w:proofErr w:type="spellEnd"/>
      <w:r>
        <w:rPr>
          <w:rtl/>
        </w:rPr>
        <w:t xml:space="preserve"> 7819/21 </w:t>
      </w:r>
      <w:r>
        <w:rPr>
          <w:rFonts w:ascii="Miriam" w:hAnsi="Miriam" w:cs="Miriam"/>
          <w:sz w:val="24"/>
          <w:szCs w:val="24"/>
          <w:rtl/>
        </w:rPr>
        <w:t>פלוני ו - 25 אח' נ' ארגון החמאס ואח',</w:t>
      </w:r>
      <w:r>
        <w:rPr>
          <w:rtl/>
        </w:rPr>
        <w:t xml:space="preserve"> פסקה 13(31.1.2023))). </w:t>
      </w:r>
    </w:p>
    <w:p w:rsidR="00007DA4" w:rsidRDefault="00007DA4" w:rsidP="00007DA4">
      <w:pPr>
        <w:pStyle w:val="Ruller41"/>
        <w:rPr>
          <w:rtl/>
        </w:rPr>
      </w:pPr>
    </w:p>
    <w:p w:rsidR="00007DA4" w:rsidRDefault="00007DA4" w:rsidP="00007DA4">
      <w:pPr>
        <w:pStyle w:val="Ruller41"/>
        <w:rPr>
          <w:color w:val="FF0000"/>
          <w:rtl/>
        </w:rPr>
      </w:pPr>
      <w:r>
        <w:rPr>
          <w:rtl/>
        </w:rPr>
        <w:t xml:space="preserve"> נוכח האמור אני פוסקת לתובעת פיצוי עונשי בסך </w:t>
      </w:r>
      <w:r>
        <w:rPr>
          <w:b/>
          <w:bCs/>
          <w:u w:val="single"/>
          <w:rtl/>
        </w:rPr>
        <w:t>3,000,000 ₪ נכון ליום פסק הדין.</w:t>
      </w:r>
      <w:r>
        <w:rPr>
          <w:rtl/>
        </w:rPr>
        <w:t xml:space="preserve"> </w:t>
      </w:r>
    </w:p>
    <w:p w:rsidR="00007DA4" w:rsidRDefault="00007DA4" w:rsidP="00007DA4">
      <w:pPr>
        <w:pStyle w:val="Ruller41"/>
        <w:rPr>
          <w:rFonts w:ascii="FrankRuehl" w:hAnsi="FrankRuehl"/>
          <w:b/>
          <w:bCs/>
          <w:sz w:val="28"/>
          <w:u w:val="single"/>
        </w:rPr>
      </w:pPr>
    </w:p>
    <w:p w:rsidR="00007DA4" w:rsidRDefault="00007DA4" w:rsidP="00007DA4">
      <w:pPr>
        <w:spacing w:line="360" w:lineRule="auto"/>
        <w:ind w:firstLine="44"/>
        <w:jc w:val="both"/>
        <w:rPr>
          <w:rFonts w:ascii="FrankRuehl" w:hAnsi="FrankRuehl" w:cs="FrankRuehl"/>
          <w:b/>
          <w:bCs/>
          <w:sz w:val="28"/>
          <w:szCs w:val="28"/>
          <w:u w:val="single"/>
          <w:rtl/>
        </w:rPr>
      </w:pPr>
      <w:r>
        <w:rPr>
          <w:rFonts w:ascii="FrankRuehl" w:hAnsi="FrankRuehl" w:cs="FrankRuehl"/>
          <w:b/>
          <w:bCs/>
          <w:sz w:val="28"/>
          <w:szCs w:val="28"/>
          <w:u w:val="single"/>
          <w:rtl/>
        </w:rPr>
        <w:t>סיכום</w:t>
      </w:r>
    </w:p>
    <w:p w:rsidR="00007DA4" w:rsidRDefault="00007DA4" w:rsidP="00007DA4">
      <w:pPr>
        <w:spacing w:line="360" w:lineRule="auto"/>
        <w:ind w:firstLine="44"/>
        <w:jc w:val="both"/>
        <w:rPr>
          <w:rFonts w:ascii="FrankRuehl" w:hAnsi="FrankRuehl" w:cs="FrankRuehl"/>
          <w:b/>
          <w:bCs/>
          <w:sz w:val="28"/>
          <w:szCs w:val="28"/>
          <w:u w:val="single"/>
          <w:rtl/>
        </w:rPr>
      </w:pPr>
    </w:p>
    <w:p w:rsidR="00007DA4" w:rsidRDefault="00007DA4" w:rsidP="00A10C23">
      <w:pPr>
        <w:spacing w:line="360" w:lineRule="auto"/>
        <w:ind w:firstLine="44"/>
        <w:jc w:val="both"/>
        <w:rPr>
          <w:rFonts w:ascii="FrankRuehl" w:hAnsi="FrankRuehl" w:cs="FrankRuehl"/>
          <w:sz w:val="28"/>
          <w:szCs w:val="28"/>
          <w:rtl/>
        </w:rPr>
      </w:pPr>
      <w:r>
        <w:rPr>
          <w:rFonts w:ascii="FrankRuehl" w:hAnsi="FrankRuehl" w:cs="FrankRuehl"/>
          <w:sz w:val="28"/>
          <w:szCs w:val="28"/>
          <w:rtl/>
        </w:rPr>
        <w:t>19.</w:t>
      </w:r>
      <w:r>
        <w:rPr>
          <w:rFonts w:ascii="FrankRuehl" w:hAnsi="FrankRuehl" w:cs="FrankRuehl"/>
          <w:sz w:val="28"/>
          <w:szCs w:val="28"/>
          <w:rtl/>
        </w:rPr>
        <w:tab/>
        <w:t>הרש"פ  תשלם לתובע</w:t>
      </w:r>
      <w:r w:rsidR="00A10C23">
        <w:rPr>
          <w:rFonts w:ascii="FrankRuehl" w:hAnsi="FrankRuehl" w:cs="FrankRuehl" w:hint="cs"/>
          <w:sz w:val="28"/>
          <w:szCs w:val="28"/>
          <w:rtl/>
        </w:rPr>
        <w:t>ת</w:t>
      </w:r>
      <w:r>
        <w:rPr>
          <w:rFonts w:ascii="FrankRuehl" w:hAnsi="FrankRuehl" w:cs="FrankRuehl"/>
          <w:sz w:val="28"/>
          <w:szCs w:val="28"/>
          <w:rtl/>
        </w:rPr>
        <w:t xml:space="preserve"> את הסכומים שנפסקו לעיל, בצירוף שכר טרחת עו"ד בשיעור 23.4% מן הפיצוי התרופתי ו - 10% מן הפיצוי העונשי</w:t>
      </w:r>
      <w:r w:rsidR="00A10C23">
        <w:rPr>
          <w:rFonts w:ascii="FrankRuehl" w:hAnsi="FrankRuehl" w:cs="FrankRuehl" w:hint="cs"/>
          <w:sz w:val="28"/>
          <w:szCs w:val="28"/>
          <w:rtl/>
        </w:rPr>
        <w:t>,</w:t>
      </w:r>
      <w:r>
        <w:rPr>
          <w:rFonts w:ascii="FrankRuehl" w:hAnsi="FrankRuehl" w:cs="FrankRuehl"/>
          <w:sz w:val="28"/>
          <w:szCs w:val="28"/>
          <w:rtl/>
        </w:rPr>
        <w:t xml:space="preserve"> (זאת בשים לב לשיעור שכר הטרחה שפסקתי במסגרת תא 4333-02 </w:t>
      </w:r>
      <w:r>
        <w:rPr>
          <w:rFonts w:ascii="Miriam" w:hAnsi="Miriam" w:cs="Miriam"/>
          <w:rtl/>
        </w:rPr>
        <w:t>פלונית נ' הרשות הפלסטינית</w:t>
      </w:r>
      <w:r>
        <w:rPr>
          <w:rFonts w:ascii="FrankRuehl" w:hAnsi="FrankRuehl" w:cs="FrankRuehl"/>
          <w:sz w:val="28"/>
          <w:szCs w:val="28"/>
          <w:rtl/>
        </w:rPr>
        <w:t xml:space="preserve"> (2.11.2020) </w:t>
      </w:r>
      <w:r w:rsidR="00A10C23">
        <w:rPr>
          <w:rFonts w:ascii="FrankRuehl" w:hAnsi="FrankRuehl" w:cs="FrankRuehl" w:hint="cs"/>
          <w:sz w:val="28"/>
          <w:szCs w:val="28"/>
          <w:rtl/>
        </w:rPr>
        <w:t xml:space="preserve">בגין פיצוי עונשי </w:t>
      </w:r>
      <w:r>
        <w:rPr>
          <w:rFonts w:ascii="FrankRuehl" w:hAnsi="FrankRuehl" w:cs="FrankRuehl"/>
          <w:sz w:val="28"/>
          <w:szCs w:val="28"/>
          <w:rtl/>
        </w:rPr>
        <w:t>שאושר במסגרת</w:t>
      </w:r>
      <w:r>
        <w:rPr>
          <w:rtl/>
        </w:rPr>
        <w:t xml:space="preserve"> </w:t>
      </w:r>
      <w:hyperlink r:id="rId16" w:history="1">
        <w:r w:rsidRPr="00A10C23">
          <w:rPr>
            <w:rStyle w:val="Hyperlink"/>
            <w:rFonts w:ascii="FrankRuehl" w:hAnsi="FrankRuehl" w:cs="FrankRuehl"/>
            <w:color w:val="000000" w:themeColor="text1"/>
            <w:sz w:val="28"/>
            <w:szCs w:val="28"/>
            <w:u w:val="none"/>
            <w:rtl/>
          </w:rPr>
          <w:t>ע"א 8828/20</w:t>
        </w:r>
      </w:hyperlink>
      <w:r w:rsidRPr="00A10C23">
        <w:rPr>
          <w:rFonts w:ascii="FrankRuehl" w:hAnsi="FrankRuehl"/>
          <w:sz w:val="28"/>
          <w:rtl/>
        </w:rPr>
        <w:t xml:space="preserve"> </w:t>
      </w:r>
      <w:r w:rsidRPr="00A10C23">
        <w:rPr>
          <w:rFonts w:ascii="Miriam" w:hAnsi="Miriam" w:cs="Miriam"/>
          <w:b/>
          <w:rtl/>
        </w:rPr>
        <w:t>ה</w:t>
      </w:r>
      <w:r>
        <w:rPr>
          <w:rFonts w:ascii="Miriam" w:hAnsi="Miriam" w:cs="Miriam"/>
          <w:b/>
          <w:rtl/>
        </w:rPr>
        <w:t xml:space="preserve">רשות הפלסטינית נ' פלונית, </w:t>
      </w:r>
      <w:r>
        <w:rPr>
          <w:rFonts w:ascii="FrankRuehl" w:hAnsi="FrankRuehl" w:cs="FrankRuehl"/>
          <w:b/>
          <w:sz w:val="28"/>
          <w:szCs w:val="28"/>
          <w:rtl/>
        </w:rPr>
        <w:t>פסקה 22</w:t>
      </w:r>
      <w:r>
        <w:rPr>
          <w:rFonts w:ascii="FrankRuehl" w:hAnsi="FrankRuehl"/>
          <w:sz w:val="28"/>
          <w:rtl/>
        </w:rPr>
        <w:t xml:space="preserve"> </w:t>
      </w:r>
      <w:r>
        <w:rPr>
          <w:rFonts w:ascii="FrankRuehl" w:hAnsi="FrankRuehl" w:cs="FrankRuehl"/>
          <w:color w:val="000000"/>
          <w:sz w:val="28"/>
          <w:szCs w:val="28"/>
          <w:rtl/>
        </w:rPr>
        <w:t>(‏6.6.2022)</w:t>
      </w:r>
      <w:r>
        <w:rPr>
          <w:rFonts w:ascii="FrankRuehl" w:hAnsi="FrankRuehl"/>
          <w:color w:val="000000"/>
          <w:sz w:val="28"/>
          <w:rtl/>
        </w:rPr>
        <w:t>)</w:t>
      </w:r>
      <w:r w:rsidR="00A10C23">
        <w:rPr>
          <w:rFonts w:ascii="FrankRuehl" w:hAnsi="FrankRuehl" w:cs="FrankRuehl" w:hint="cs"/>
          <w:sz w:val="28"/>
          <w:szCs w:val="28"/>
          <w:rtl/>
        </w:rPr>
        <w:t xml:space="preserve"> </w:t>
      </w:r>
      <w:r w:rsidR="00A10C23">
        <w:rPr>
          <w:rFonts w:ascii="FrankRuehl" w:hAnsi="FrankRuehl" w:cs="FrankRuehl"/>
          <w:sz w:val="28"/>
          <w:szCs w:val="28"/>
          <w:rtl/>
        </w:rPr>
        <w:t>בצירוף הוצאות משפט</w:t>
      </w:r>
      <w:r>
        <w:rPr>
          <w:rFonts w:ascii="FrankRuehl" w:hAnsi="FrankRuehl" w:cs="FrankRuehl"/>
          <w:sz w:val="28"/>
          <w:szCs w:val="28"/>
          <w:rtl/>
        </w:rPr>
        <w:t xml:space="preserve">. </w:t>
      </w:r>
    </w:p>
    <w:p w:rsidR="00007DA4" w:rsidRDefault="00007DA4" w:rsidP="00007DA4">
      <w:pPr>
        <w:spacing w:line="360" w:lineRule="auto"/>
        <w:ind w:firstLine="44"/>
        <w:jc w:val="both"/>
        <w:rPr>
          <w:rFonts w:ascii="FrankRuehl" w:hAnsi="FrankRuehl" w:cs="FrankRuehl"/>
          <w:sz w:val="28"/>
          <w:szCs w:val="28"/>
          <w:rtl/>
        </w:rPr>
      </w:pPr>
    </w:p>
    <w:p w:rsidR="00007DA4" w:rsidRDefault="00007DA4" w:rsidP="00007DA4">
      <w:pPr>
        <w:spacing w:line="360" w:lineRule="auto"/>
        <w:ind w:firstLine="44"/>
        <w:rPr>
          <w:rFonts w:asciiTheme="minorHAnsi" w:hAnsiTheme="minorHAnsi" w:cstheme="minorBidi"/>
          <w:sz w:val="22"/>
          <w:szCs w:val="22"/>
          <w:rtl/>
        </w:rPr>
      </w:pPr>
      <w:r>
        <w:rPr>
          <w:rFonts w:ascii="FrankRuehl" w:hAnsi="FrankRuehl" w:cs="FrankRuehl"/>
          <w:sz w:val="28"/>
          <w:szCs w:val="28"/>
          <w:rtl/>
        </w:rPr>
        <w:tab/>
      </w:r>
      <w:r>
        <w:rPr>
          <w:rFonts w:ascii="FrankRuehl" w:hAnsi="FrankRuehl" w:cs="FrankRuehl"/>
          <w:sz w:val="28"/>
          <w:szCs w:val="28"/>
        </w:rPr>
        <w:t xml:space="preserve">     </w:t>
      </w:r>
      <w:r>
        <w:rPr>
          <w:rFonts w:ascii="FrankRuehl" w:hAnsi="FrankRuehl" w:cs="FrankRuehl"/>
          <w:sz w:val="28"/>
          <w:szCs w:val="28"/>
          <w:rtl/>
        </w:rPr>
        <w:t>הסכומים ישולמו בתוך 30 ימים מיום המצאת פסק הדין שאם לא כן יישאו הפרשי הצמדה וריבית כדין מהיום ועד יום התשלום בפועל.</w:t>
      </w:r>
    </w:p>
    <w:p w:rsidR="00007DA4" w:rsidRDefault="00007DA4" w:rsidP="00007DA4">
      <w:pPr>
        <w:pStyle w:val="Ruller41"/>
        <w:tabs>
          <w:tab w:val="clear" w:pos="800"/>
          <w:tab w:val="left" w:pos="84"/>
          <w:tab w:val="left" w:pos="935"/>
        </w:tabs>
        <w:spacing w:before="120" w:after="120"/>
        <w:ind w:left="84"/>
        <w:rPr>
          <w:rFonts w:ascii="FrankRuehl" w:hAnsi="FrankRuehl"/>
          <w:b/>
          <w:bCs/>
          <w:sz w:val="28"/>
          <w:u w:val="single"/>
          <w:rtl/>
        </w:rPr>
      </w:pPr>
    </w:p>
    <w:p w:rsidR="00007DA4" w:rsidRDefault="00007DA4" w:rsidP="00007DA4">
      <w:pPr>
        <w:pStyle w:val="Ruller41"/>
        <w:tabs>
          <w:tab w:val="clear" w:pos="800"/>
          <w:tab w:val="left" w:pos="84"/>
          <w:tab w:val="left" w:pos="935"/>
        </w:tabs>
        <w:spacing w:before="120" w:after="120"/>
        <w:ind w:left="84"/>
        <w:rPr>
          <w:rFonts w:ascii="FrankRuehl" w:hAnsi="FrankRuehl"/>
          <w:b/>
          <w:bCs/>
          <w:sz w:val="28"/>
          <w:u w:val="single"/>
          <w:rtl/>
        </w:rPr>
      </w:pPr>
    </w:p>
    <w:p w:rsidR="00007DA4" w:rsidRDefault="00007DA4" w:rsidP="00007DA4">
      <w:pPr>
        <w:pStyle w:val="Ruller41"/>
        <w:tabs>
          <w:tab w:val="clear" w:pos="800"/>
          <w:tab w:val="left" w:pos="84"/>
          <w:tab w:val="left" w:pos="935"/>
        </w:tabs>
        <w:spacing w:before="120" w:after="120"/>
        <w:ind w:left="84"/>
        <w:rPr>
          <w:rFonts w:ascii="FrankRuehl" w:hAnsi="FrankRuehl"/>
          <w:b/>
          <w:bCs/>
          <w:sz w:val="28"/>
          <w:u w:val="single"/>
          <w:rtl/>
        </w:rPr>
      </w:pPr>
    </w:p>
    <w:p w:rsidR="00007DA4" w:rsidRDefault="00007DA4" w:rsidP="00007DA4">
      <w:pPr>
        <w:pStyle w:val="Ruller41"/>
        <w:tabs>
          <w:tab w:val="clear" w:pos="800"/>
          <w:tab w:val="left" w:pos="84"/>
          <w:tab w:val="left" w:pos="935"/>
        </w:tabs>
        <w:spacing w:before="120" w:after="120"/>
        <w:ind w:left="84"/>
        <w:rPr>
          <w:rFonts w:ascii="FrankRuehl" w:hAnsi="FrankRuehl"/>
          <w:sz w:val="28"/>
        </w:rPr>
      </w:pPr>
    </w:p>
    <w:p w:rsidR="00694556" w:rsidRPr="00007DA4"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פברואר 2023</w:t>
          </w:r>
        </w:sdtContent>
      </w:sdt>
      <w:r w:rsidR="00005C8B">
        <w:rPr>
          <w:rFonts w:ascii="Arial" w:hAnsi="Arial"/>
          <w:noProof w:val="0"/>
          <w:rtl/>
        </w:rPr>
        <w:t>, בהעדר הצדדים.</w:t>
      </w:r>
    </w:p>
    <w:p w:rsidR="00C43648" w:rsidRDefault="0089656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1096386"/>
        </w:sdtPr>
        <w:sdtEndPr/>
        <w:sdtContent>
          <w:r w:rsidR="00896564">
            <w:drawing>
              <wp:inline distT="0" distB="0" distL="0" distR="0" wp14:editId="50D07946">
                <wp:extent cx="11715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171575" cy="7905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07DA4">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6564">
      <w:rPr>
        <w:rStyle w:val="ab"/>
        <w:rFonts w:cs="Times New Roman"/>
        <w:rtl/>
      </w:rPr>
      <w:t>10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6564">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9656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35320-06-17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הרשות הפלסטינית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36BC2566"/>
    <w:lvl w:ilvl="0" w:tplc="0C80FCEC">
      <w:start w:val="1"/>
      <w:numFmt w:val="decimal"/>
      <w:pStyle w:val="Ruller4"/>
      <w:lvlText w:val="%1."/>
      <w:lvlJc w:val="left"/>
      <w:pPr>
        <w:tabs>
          <w:tab w:val="num" w:pos="1049"/>
        </w:tabs>
        <w:ind w:left="142" w:firstLine="0"/>
      </w:pPr>
      <w:rPr>
        <w:lang w:bidi="he-IL"/>
      </w:rPr>
    </w:lvl>
    <w:lvl w:ilvl="1" w:tplc="04090019">
      <w:start w:val="1"/>
      <w:numFmt w:val="lowerLetter"/>
      <w:lvlText w:val="%2."/>
      <w:lvlJc w:val="left"/>
      <w:pPr>
        <w:tabs>
          <w:tab w:val="num" w:pos="1582"/>
        </w:tabs>
        <w:ind w:left="1582" w:hanging="360"/>
      </w:pPr>
    </w:lvl>
    <w:lvl w:ilvl="2" w:tplc="0409001B">
      <w:start w:val="1"/>
      <w:numFmt w:val="lowerRoman"/>
      <w:lvlText w:val="%3."/>
      <w:lvlJc w:val="right"/>
      <w:pPr>
        <w:tabs>
          <w:tab w:val="num" w:pos="2302"/>
        </w:tabs>
        <w:ind w:left="2302" w:hanging="180"/>
      </w:pPr>
    </w:lvl>
    <w:lvl w:ilvl="3" w:tplc="0409000F">
      <w:start w:val="1"/>
      <w:numFmt w:val="decimal"/>
      <w:lvlText w:val="%4."/>
      <w:lvlJc w:val="left"/>
      <w:pPr>
        <w:tabs>
          <w:tab w:val="num" w:pos="3022"/>
        </w:tabs>
        <w:ind w:left="3022" w:hanging="360"/>
      </w:pPr>
    </w:lvl>
    <w:lvl w:ilvl="4" w:tplc="04090019">
      <w:start w:val="1"/>
      <w:numFmt w:val="lowerLetter"/>
      <w:lvlText w:val="%5."/>
      <w:lvlJc w:val="left"/>
      <w:pPr>
        <w:tabs>
          <w:tab w:val="num" w:pos="3742"/>
        </w:tabs>
        <w:ind w:left="3742" w:hanging="360"/>
      </w:pPr>
    </w:lvl>
    <w:lvl w:ilvl="5" w:tplc="0409001B">
      <w:start w:val="1"/>
      <w:numFmt w:val="lowerRoman"/>
      <w:lvlText w:val="%6."/>
      <w:lvlJc w:val="right"/>
      <w:pPr>
        <w:tabs>
          <w:tab w:val="num" w:pos="4462"/>
        </w:tabs>
        <w:ind w:left="4462" w:hanging="180"/>
      </w:pPr>
    </w:lvl>
    <w:lvl w:ilvl="6" w:tplc="0409000F">
      <w:start w:val="1"/>
      <w:numFmt w:val="decimal"/>
      <w:lvlText w:val="%7."/>
      <w:lvlJc w:val="left"/>
      <w:pPr>
        <w:tabs>
          <w:tab w:val="num" w:pos="5182"/>
        </w:tabs>
        <w:ind w:left="5182" w:hanging="360"/>
      </w:pPr>
    </w:lvl>
    <w:lvl w:ilvl="7" w:tplc="04090019">
      <w:start w:val="1"/>
      <w:numFmt w:val="lowerLetter"/>
      <w:lvlText w:val="%8."/>
      <w:lvlJc w:val="left"/>
      <w:pPr>
        <w:tabs>
          <w:tab w:val="num" w:pos="5902"/>
        </w:tabs>
        <w:ind w:left="5902" w:hanging="360"/>
      </w:pPr>
    </w:lvl>
    <w:lvl w:ilvl="8" w:tplc="0409001B">
      <w:start w:val="1"/>
      <w:numFmt w:val="lowerRoman"/>
      <w:lvlText w:val="%9."/>
      <w:lvlJc w:val="right"/>
      <w:pPr>
        <w:tabs>
          <w:tab w:val="num" w:pos="6622"/>
        </w:tabs>
        <w:ind w:left="6622" w:hanging="180"/>
      </w:pPr>
    </w:lvl>
  </w:abstractNum>
  <w:abstractNum w:abstractNumId="1" w15:restartNumberingAfterBreak="0">
    <w:nsid w:val="4637779F"/>
    <w:multiLevelType w:val="multilevel"/>
    <w:tmpl w:val="089489BC"/>
    <w:lvl w:ilvl="0">
      <w:start w:val="1"/>
      <w:numFmt w:val="decimal"/>
      <w:lvlText w:val="%1."/>
      <w:lvlJc w:val="left"/>
      <w:pPr>
        <w:ind w:left="772" w:hanging="630"/>
      </w:pPr>
      <w:rPr>
        <w:b w:val="0"/>
        <w:bCs w:val="0"/>
      </w:rPr>
    </w:lvl>
    <w:lvl w:ilvl="1">
      <w:start w:val="1"/>
      <w:numFmt w:val="decimal"/>
      <w:isLgl/>
      <w:lvlText w:val="%1.%2"/>
      <w:lvlJc w:val="left"/>
      <w:pPr>
        <w:ind w:left="504" w:hanging="420"/>
      </w:pPr>
    </w:lvl>
    <w:lvl w:ilvl="2">
      <w:start w:val="1"/>
      <w:numFmt w:val="decimal"/>
      <w:isLgl/>
      <w:lvlText w:val="%1.%2.%3"/>
      <w:lvlJc w:val="left"/>
      <w:pPr>
        <w:ind w:left="804" w:hanging="720"/>
      </w:pPr>
    </w:lvl>
    <w:lvl w:ilvl="3">
      <w:start w:val="1"/>
      <w:numFmt w:val="decimal"/>
      <w:isLgl/>
      <w:lvlText w:val="%1.%2.%3.%4"/>
      <w:lvlJc w:val="left"/>
      <w:pPr>
        <w:ind w:left="804" w:hanging="720"/>
      </w:pPr>
    </w:lvl>
    <w:lvl w:ilvl="4">
      <w:start w:val="1"/>
      <w:numFmt w:val="decimal"/>
      <w:isLgl/>
      <w:lvlText w:val="%1.%2.%3.%4.%5"/>
      <w:lvlJc w:val="left"/>
      <w:pPr>
        <w:ind w:left="1164" w:hanging="1080"/>
      </w:pPr>
    </w:lvl>
    <w:lvl w:ilvl="5">
      <w:start w:val="1"/>
      <w:numFmt w:val="decimal"/>
      <w:isLgl/>
      <w:lvlText w:val="%1.%2.%3.%4.%5.%6"/>
      <w:lvlJc w:val="left"/>
      <w:pPr>
        <w:ind w:left="1164" w:hanging="1080"/>
      </w:pPr>
    </w:lvl>
    <w:lvl w:ilvl="6">
      <w:start w:val="1"/>
      <w:numFmt w:val="decimal"/>
      <w:isLgl/>
      <w:lvlText w:val="%1.%2.%3.%4.%5.%6.%7"/>
      <w:lvlJc w:val="left"/>
      <w:pPr>
        <w:ind w:left="1524" w:hanging="1440"/>
      </w:pPr>
    </w:lvl>
    <w:lvl w:ilvl="7">
      <w:start w:val="1"/>
      <w:numFmt w:val="decimal"/>
      <w:isLgl/>
      <w:lvlText w:val="%1.%2.%3.%4.%5.%6.%7.%8"/>
      <w:lvlJc w:val="left"/>
      <w:pPr>
        <w:ind w:left="1524" w:hanging="1440"/>
      </w:pPr>
    </w:lvl>
    <w:lvl w:ilvl="8">
      <w:start w:val="1"/>
      <w:numFmt w:val="decimal"/>
      <w:isLgl/>
      <w:lvlText w:val="%1.%2.%3.%4.%5.%6.%7.%8.%9"/>
      <w:lvlJc w:val="left"/>
      <w:pPr>
        <w:ind w:left="1884"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hdrShapeDefaults>
    <o:shapedefaults v:ext="edit" spidmax="2119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A4"/>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564"/>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10C23"/>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3460A"/>
    <w:rsid w:val="00E5426A"/>
    <w:rsid w:val="00E54642"/>
    <w:rsid w:val="00E80CBE"/>
    <w:rsid w:val="00E9269D"/>
    <w:rsid w:val="00E962E3"/>
    <w:rsid w:val="00EB6C79"/>
    <w:rsid w:val="00EC37E9"/>
    <w:rsid w:val="00F038D8"/>
    <w:rsid w:val="00F06995"/>
    <w:rsid w:val="00F12D66"/>
    <w:rsid w:val="00F13623"/>
    <w:rsid w:val="00F3117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4:docId w14:val="2C204F7B"/>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07DA4"/>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0">
    <w:name w:val="Ruller4 תו"/>
    <w:link w:val="Ruller41"/>
    <w:locked/>
    <w:rsid w:val="00007DA4"/>
    <w:rPr>
      <w:rFonts w:ascii="Arial TUR" w:hAnsi="Arial TUR" w:cs="FrankRuehl"/>
      <w:spacing w:val="10"/>
      <w:szCs w:val="28"/>
    </w:rPr>
  </w:style>
  <w:style w:type="paragraph" w:customStyle="1" w:styleId="Ruller41">
    <w:name w:val="Ruller4"/>
    <w:basedOn w:val="a"/>
    <w:link w:val="Ruller40"/>
    <w:rsid w:val="00007DA4"/>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4">
    <w:name w:val="Ruller 4 ממוספר"/>
    <w:basedOn w:val="Ruller41"/>
    <w:next w:val="Ruller41"/>
    <w:rsid w:val="00007DA4"/>
    <w:pPr>
      <w:numPr>
        <w:numId w:val="1"/>
      </w:numPr>
      <w:tabs>
        <w:tab w:val="clear" w:pos="1049"/>
        <w:tab w:val="num" w:pos="360"/>
      </w:tabs>
      <w:ind w:left="0"/>
    </w:pPr>
    <w:rPr>
      <w:rFonts w:ascii="Garamond" w:hAnsi="Garamond"/>
      <w:sz w:val="24"/>
    </w:rPr>
  </w:style>
  <w:style w:type="character" w:styleId="Hyperlink">
    <w:name w:val="Hyperlink"/>
    <w:basedOn w:val="a0"/>
    <w:uiPriority w:val="99"/>
    <w:semiHidden/>
    <w:unhideWhenUsed/>
    <w:rsid w:val="00007D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9281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040874" TargetMode="External"/><Relationship Id="rId13" Type="http://schemas.openxmlformats.org/officeDocument/2006/relationships/hyperlink" Target="http://www.nevo.co.il/case/23563144"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evo.co.il/case/6846272"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case/27248672"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17714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27248672" TargetMode="External"/><Relationship Id="rId23" Type="http://schemas.openxmlformats.org/officeDocument/2006/relationships/footer" Target="footer3.xml"/><Relationship Id="rId10" Type="http://schemas.openxmlformats.org/officeDocument/2006/relationships/hyperlink" Target="http://www.nevo.co.il/case/5588091"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evo.co.il/case/17017364" TargetMode="External"/><Relationship Id="rId14" Type="http://schemas.openxmlformats.org/officeDocument/2006/relationships/hyperlink" Target="http://www.nevo.co.il/case/26135037"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83BA6" w:rsidP="00083BA6">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83BA6"/>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3BA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83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10</Pages>
  <Words>2569</Words>
  <Characters>12850</Characters>
  <Application>Microsoft Office Word</Application>
  <DocSecurity>0</DocSecurity>
  <Lines>107</Lines>
  <Paragraphs>30</Paragraphs>
  <ScaleCrop>false</ScaleCrop>
  <Company>Microsoft Corporation</Company>
  <LinksUpToDate>false</LinksUpToDate>
  <CharactersWithSpaces>15389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מרים אילני</cp:lastModifiedBy>
  <cp:revision>146</cp:revision>
  <dcterms:created xsi:type="dcterms:W3CDTF">2012-08-06T05:16:00Z</dcterms:created>
  <dcterms:modified xsi:type="dcterms:W3CDTF">2024-05-05T07:07:00Z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